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3DE14138" w:rsidR="00E203C2" w:rsidRDefault="00E203C2" w:rsidP="00E203C2">
      <w:r>
        <w:rPr>
          <w:noProof/>
          <w:lang w:eastAsia="en-GB" w:bidi="ar-SA"/>
        </w:rPr>
        <w:drawing>
          <wp:inline distT="0" distB="0" distL="0" distR="0" wp14:anchorId="4A2E7454" wp14:editId="058FDDF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3E1C19CA" w14:textId="01F4AB84" w:rsidR="009A2B9A" w:rsidRDefault="009A2B9A" w:rsidP="00690206">
      <w:pPr>
        <w:pStyle w:val="FSTitle"/>
        <w:rPr>
          <w:b/>
        </w:rPr>
      </w:pPr>
      <w:r>
        <w:rPr>
          <w:b/>
        </w:rPr>
        <w:t>27 June 2019</w:t>
      </w:r>
    </w:p>
    <w:p w14:paraId="2264A66B" w14:textId="469EF487" w:rsidR="009A2B9A" w:rsidRDefault="009A2B9A" w:rsidP="00690206">
      <w:pPr>
        <w:pStyle w:val="FSTitle"/>
        <w:rPr>
          <w:b/>
        </w:rPr>
      </w:pPr>
      <w:r>
        <w:rPr>
          <w:b/>
        </w:rPr>
        <w:t>[85-19]</w:t>
      </w:r>
      <w:bookmarkStart w:id="0" w:name="_GoBack"/>
      <w:bookmarkEnd w:id="0"/>
    </w:p>
    <w:p w14:paraId="2032BAF0" w14:textId="77777777" w:rsidR="009A2B9A" w:rsidRDefault="009A2B9A" w:rsidP="00690206">
      <w:pPr>
        <w:pStyle w:val="FSTitle"/>
        <w:rPr>
          <w:b/>
        </w:rPr>
      </w:pPr>
    </w:p>
    <w:p w14:paraId="187C86CF" w14:textId="5BF34F3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76104CC1" w:rsidR="00AF0509" w:rsidRDefault="002B0241" w:rsidP="00AF0509">
      <w:pPr>
        <w:pStyle w:val="FSTitle"/>
      </w:pPr>
      <w:r>
        <w:t xml:space="preserve">Risk </w:t>
      </w:r>
      <w:r w:rsidR="000F7703">
        <w:t xml:space="preserve">and </w:t>
      </w:r>
      <w:r>
        <w:t>technical</w:t>
      </w:r>
      <w:r w:rsidR="000F7703">
        <w:t xml:space="preserve"> </w:t>
      </w:r>
      <w:r w:rsidR="00AF0509" w:rsidRPr="00C709B3">
        <w:t xml:space="preserve">assessment </w:t>
      </w:r>
      <w:r w:rsidR="00AF0509">
        <w:t xml:space="preserve">report </w:t>
      </w:r>
      <w:r w:rsidR="00AF0509" w:rsidRPr="00C709B3">
        <w:t>– Application A11</w:t>
      </w:r>
      <w:r w:rsidR="00BE1FE0">
        <w:t>59</w:t>
      </w:r>
    </w:p>
    <w:p w14:paraId="1E09FD7A" w14:textId="77777777" w:rsidR="00AF0509" w:rsidRDefault="00AF0509" w:rsidP="00AF0509">
      <w:pPr>
        <w:pStyle w:val="FSTitle"/>
      </w:pPr>
      <w:r w:rsidRPr="00C709B3">
        <w:t xml:space="preserve"> </w:t>
      </w:r>
    </w:p>
    <w:p w14:paraId="004DEE3E" w14:textId="52E7EA52" w:rsidR="00AF0509" w:rsidRPr="00C709B3" w:rsidRDefault="00BE1FE0" w:rsidP="000037CF">
      <w:pPr>
        <w:pStyle w:val="FSTitle"/>
      </w:pPr>
      <w:r>
        <w:t>Triacylglycerol lipase</w:t>
      </w:r>
      <w:r w:rsidR="00D82516">
        <w:t xml:space="preserve"> from </w:t>
      </w:r>
      <w:r>
        <w:rPr>
          <w:i/>
        </w:rPr>
        <w:t>Trichoderma reesei</w:t>
      </w:r>
      <w:r w:rsidR="00E2284F">
        <w:t xml:space="preserve"> as a p</w:t>
      </w:r>
      <w:r w:rsidR="00D82516">
        <w:t xml:space="preserve">rocessing </w:t>
      </w:r>
      <w:r w:rsidR="00E2284F">
        <w:t>a</w:t>
      </w:r>
      <w:r w:rsidR="00D82516">
        <w:t>id (Enzyme)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4152919"/>
      <w:r w:rsidRPr="00092CDA">
        <w:t xml:space="preserve">Executive </w:t>
      </w:r>
      <w:r w:rsidR="00B12F1E">
        <w:t>s</w:t>
      </w:r>
      <w:r w:rsidRPr="00092CDA">
        <w:t>ummary</w:t>
      </w:r>
      <w:bookmarkEnd w:id="1"/>
      <w:bookmarkEnd w:id="2"/>
      <w:bookmarkEnd w:id="3"/>
    </w:p>
    <w:p w14:paraId="5944B0D0" w14:textId="52FA30B5" w:rsidR="00C37054" w:rsidRDefault="0085335B" w:rsidP="0085335B">
      <w:r w:rsidRPr="002540C6">
        <w:rPr>
          <w:lang w:bidi="ar-SA"/>
        </w:rPr>
        <w:t xml:space="preserve">DuPont Australia Pty Ltd submitted an application to Food Standards Australia New Zealand (FSANZ) </w:t>
      </w:r>
      <w:r w:rsidR="00E2284F">
        <w:rPr>
          <w:lang w:bidi="ar-SA"/>
        </w:rPr>
        <w:t xml:space="preserve">to </w:t>
      </w:r>
      <w:r w:rsidRPr="002540C6">
        <w:rPr>
          <w:lang w:bidi="ar-SA"/>
        </w:rPr>
        <w:t xml:space="preserve">use </w:t>
      </w:r>
      <w:r w:rsidRPr="002540C6">
        <w:rPr>
          <w:lang w:val="en-AU" w:bidi="ar-SA"/>
        </w:rPr>
        <w:t>the enzyme</w:t>
      </w:r>
      <w:r>
        <w:rPr>
          <w:lang w:val="en-AU" w:bidi="ar-SA"/>
        </w:rPr>
        <w:t xml:space="preserve"> triacylglycerol lipase</w:t>
      </w:r>
      <w:r w:rsidR="00E2284F">
        <w:rPr>
          <w:rStyle w:val="FootnoteReference"/>
          <w:lang w:val="en-AU" w:bidi="ar-SA"/>
        </w:rPr>
        <w:footnoteReference w:id="2"/>
      </w:r>
      <w:r>
        <w:rPr>
          <w:lang w:val="en-AU" w:bidi="ar-SA"/>
        </w:rPr>
        <w:t xml:space="preserve"> (EC </w:t>
      </w:r>
      <w:r w:rsidRPr="004E3D17">
        <w:t>3.1.1.3</w:t>
      </w:r>
      <w:r>
        <w:t xml:space="preserve">) as a processing aid. The enzyme is derived from a </w:t>
      </w:r>
      <w:r w:rsidRPr="004E3D17">
        <w:t xml:space="preserve">genetically modified strain of </w:t>
      </w:r>
      <w:r w:rsidRPr="004E3D17">
        <w:rPr>
          <w:i/>
        </w:rPr>
        <w:t>Trichoderma reesei</w:t>
      </w:r>
      <w:r>
        <w:t xml:space="preserve">, </w:t>
      </w:r>
      <w:r w:rsidR="00903B68">
        <w:t>expressing the</w:t>
      </w:r>
      <w:r w:rsidR="00D30B66" w:rsidRPr="00A538F4">
        <w:t xml:space="preserve"> </w:t>
      </w:r>
      <w:r w:rsidR="00E2284F">
        <w:t xml:space="preserve">triacylglycerol </w:t>
      </w:r>
      <w:r w:rsidR="00DE2BCA">
        <w:t xml:space="preserve">lipase </w:t>
      </w:r>
      <w:r w:rsidR="00D30B66" w:rsidRPr="00A538F4">
        <w:t xml:space="preserve">gene from </w:t>
      </w:r>
      <w:r w:rsidR="00D30B66">
        <w:rPr>
          <w:i/>
        </w:rPr>
        <w:t>Aspergillus tubingensis</w:t>
      </w:r>
      <w:r w:rsidRPr="004E3D17">
        <w:t>. T</w:t>
      </w:r>
      <w:r w:rsidR="00FC7903">
        <w:t>he t</w:t>
      </w:r>
      <w:r w:rsidRPr="004E3D17">
        <w:t xml:space="preserve">riacylglycerol lipase is intended for use </w:t>
      </w:r>
      <w:r w:rsidR="002B0241">
        <w:t xml:space="preserve">as a processing aid </w:t>
      </w:r>
      <w:r w:rsidR="00311EAC">
        <w:t xml:space="preserve">in the production of </w:t>
      </w:r>
      <w:r w:rsidR="002B0241" w:rsidRPr="00C8166A">
        <w:rPr>
          <w:szCs w:val="22"/>
        </w:rPr>
        <w:t>bakery products</w:t>
      </w:r>
      <w:r w:rsidR="009F3503">
        <w:rPr>
          <w:szCs w:val="22"/>
        </w:rPr>
        <w:t>,</w:t>
      </w:r>
      <w:r w:rsidR="002B0241" w:rsidRPr="00C8166A">
        <w:rPr>
          <w:szCs w:val="22"/>
        </w:rPr>
        <w:t xml:space="preserve"> and cereal-based </w:t>
      </w:r>
      <w:r w:rsidR="009D38AA">
        <w:rPr>
          <w:szCs w:val="22"/>
        </w:rPr>
        <w:t>beverages and foods</w:t>
      </w:r>
      <w:r w:rsidRPr="00C8166A">
        <w:t>.</w:t>
      </w:r>
    </w:p>
    <w:p w14:paraId="618C7152" w14:textId="77777777" w:rsidR="00C37054" w:rsidRPr="00D7756D" w:rsidRDefault="00C37054" w:rsidP="00690206"/>
    <w:p w14:paraId="312D5D2E" w14:textId="2DA2DD51" w:rsidR="00C37054" w:rsidRPr="00D7756D" w:rsidRDefault="00C37054" w:rsidP="00C37054">
      <w:r w:rsidRPr="00D7756D">
        <w:t>The food technological assessment concluded that the enzyme, in the form and prescribed amounts, is technologically justified and has been demonstrated to be effective in achieving its stated purpose. The enzyme performs its technological purpose during production and manufacture of foods and is therefore appropriately categorised as a processing aid and not a food additive. The enzyme preparation meets international purity specifications.</w:t>
      </w:r>
    </w:p>
    <w:p w14:paraId="08C024BB" w14:textId="5D712B1E" w:rsidR="00C37054" w:rsidRDefault="00C37054" w:rsidP="00690206"/>
    <w:p w14:paraId="5EEAF7B9" w14:textId="0BC42C99" w:rsidR="00175B05" w:rsidRDefault="00175B05" w:rsidP="00175B05">
      <w:r>
        <w:t xml:space="preserve">No extraneous coding genetic material is carried across from the donor organism or through the steps leading to the final genetic modification. The modification involving the insertion of the </w:t>
      </w:r>
      <w:r w:rsidR="00311EAC">
        <w:t xml:space="preserve">triacylglycerol </w:t>
      </w:r>
      <w:r>
        <w:t>lipase gene has been shown to be stably inherited.</w:t>
      </w:r>
    </w:p>
    <w:p w14:paraId="772E68CB" w14:textId="77777777" w:rsidR="00175B05" w:rsidRDefault="00175B05" w:rsidP="00175B05"/>
    <w:p w14:paraId="4A7725DD" w14:textId="2D931490" w:rsidR="00175B05" w:rsidRDefault="00175B05" w:rsidP="00175B05">
      <w:r>
        <w:t xml:space="preserve">The enzyme showed no evidence of genotoxicity in a bacterial reverse mutation assay or a chromosomal aberration assay in human lymphocytes. In a 90-day oral gavage study in rats, the </w:t>
      </w:r>
      <w:r w:rsidR="003F2090">
        <w:t>no observed adverse effect level (</w:t>
      </w:r>
      <w:r>
        <w:t>NOAEL</w:t>
      </w:r>
      <w:r w:rsidR="003F2090">
        <w:t>)</w:t>
      </w:r>
      <w:r>
        <w:t xml:space="preserve"> was the highest dose tested,</w:t>
      </w:r>
      <w:r w:rsidRPr="00A16082">
        <w:t xml:space="preserve"> </w:t>
      </w:r>
      <w:r>
        <w:t>160.6</w:t>
      </w:r>
      <w:r w:rsidRPr="00A16082">
        <w:t xml:space="preserve"> mg/kg bw/day total protei</w:t>
      </w:r>
      <w:r>
        <w:t>n, which is equivalent to 123.15</w:t>
      </w:r>
      <w:r w:rsidRPr="00A16082">
        <w:t xml:space="preserve"> mg/kg bw/day </w:t>
      </w:r>
      <w:r w:rsidR="0036316F">
        <w:t>enzyme total organic solids (</w:t>
      </w:r>
      <w:r w:rsidRPr="00A16082">
        <w:t>TOS</w:t>
      </w:r>
      <w:r w:rsidR="0036316F">
        <w:t>)</w:t>
      </w:r>
      <w:r w:rsidRPr="00A16082">
        <w:t>.</w:t>
      </w:r>
      <w:r>
        <w:t xml:space="preserve"> The applicant’s estimated theoretical maximum daily intake (TMDI) based on the proposed uses is 0.410 mg/kg bw/day TOS. From these values, the Margin of Exposure is approximately 300.</w:t>
      </w:r>
    </w:p>
    <w:p w14:paraId="57F45B56" w14:textId="77777777" w:rsidR="00175B05" w:rsidRDefault="00175B05" w:rsidP="00175B05"/>
    <w:p w14:paraId="5460DA18" w14:textId="7C5F81C6" w:rsidR="00175B05" w:rsidRDefault="00175B05" w:rsidP="00175B05">
      <w:r>
        <w:t>Bioinformatic data indicate a lack of homology with known toxins or allergens, and the enzyme is unlikely to pose an allergenicity concern. The applicant has indicate</w:t>
      </w:r>
      <w:r w:rsidR="00311EAC">
        <w:t xml:space="preserve">d that enzyme products used in the </w:t>
      </w:r>
      <w:r>
        <w:t xml:space="preserve">production </w:t>
      </w:r>
      <w:r w:rsidR="00311EAC">
        <w:t xml:space="preserve">of baked goods </w:t>
      </w:r>
      <w:r>
        <w:t>may contain wheat</w:t>
      </w:r>
      <w:r w:rsidR="009125DA">
        <w:t xml:space="preserve"> as a carrier</w:t>
      </w:r>
      <w:r>
        <w:t>. The enzyme product may also contain traces of soy and gluten-containing cereals</w:t>
      </w:r>
      <w:r w:rsidR="00311EAC">
        <w:t>,</w:t>
      </w:r>
      <w:r w:rsidR="009125DA">
        <w:t xml:space="preserve"> since such products can be used </w:t>
      </w:r>
      <w:r w:rsidR="0036316F">
        <w:t xml:space="preserve">in </w:t>
      </w:r>
      <w:r w:rsidR="00311EAC">
        <w:t xml:space="preserve">the </w:t>
      </w:r>
      <w:r w:rsidR="009125DA">
        <w:t xml:space="preserve">fermentation media </w:t>
      </w:r>
      <w:r w:rsidR="00311EAC">
        <w:t xml:space="preserve">during production of the </w:t>
      </w:r>
      <w:r w:rsidR="009125DA">
        <w:t>enzyme</w:t>
      </w:r>
      <w:r>
        <w:t xml:space="preserve">. </w:t>
      </w:r>
    </w:p>
    <w:p w14:paraId="229B9B1E" w14:textId="77777777" w:rsidR="00175B05" w:rsidRDefault="00175B05" w:rsidP="00175B05">
      <w:pPr>
        <w:widowControl/>
        <w:rPr>
          <w:b/>
          <w:lang w:eastAsia="en-AU" w:bidi="ar-SA"/>
        </w:rPr>
      </w:pPr>
    </w:p>
    <w:p w14:paraId="469AA3EB" w14:textId="77777777" w:rsidR="00175B05" w:rsidRDefault="00175B05" w:rsidP="00175B05">
      <w:pPr>
        <w:rPr>
          <w:lang w:eastAsia="en-AU" w:bidi="ar-SA"/>
        </w:rPr>
      </w:pPr>
      <w:r w:rsidRPr="00EE0B89">
        <w:rPr>
          <w:lang w:eastAsia="en-AU" w:bidi="ar-SA"/>
        </w:rPr>
        <w:t xml:space="preserve">Based on the reviewed data it is concluded that in the absence of any identifiable hazard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Pr>
          <w:lang w:eastAsia="en-AU" w:bidi="ar-SA"/>
        </w:rPr>
        <w:t>was</w:t>
      </w:r>
      <w:r w:rsidRPr="00EE0B89">
        <w:rPr>
          <w:lang w:eastAsia="en-AU" w:bidi="ar-SA"/>
        </w:rPr>
        <w:t xml:space="preserve"> therefore not required.</w:t>
      </w:r>
    </w:p>
    <w:p w14:paraId="59900BBE" w14:textId="77777777" w:rsidR="00175B05" w:rsidRDefault="00175B05" w:rsidP="00690206"/>
    <w:p w14:paraId="5C7F7A90" w14:textId="77777777" w:rsidR="005B2186" w:rsidRDefault="005B2186" w:rsidP="005B2186">
      <w:r>
        <w:lastRenderedPageBreak/>
        <w:t xml:space="preserve">FSANZ concluded there are no public health or safety concerns for the general population associated with the use of triacylglycerol lipase from </w:t>
      </w:r>
      <w:r>
        <w:rPr>
          <w:i/>
        </w:rPr>
        <w:t xml:space="preserve">T. reesei </w:t>
      </w:r>
      <w:r w:rsidRPr="00A16082">
        <w:t>as a food processing aid</w:t>
      </w:r>
      <w:r>
        <w:t xml:space="preserve">. </w:t>
      </w:r>
    </w:p>
    <w:p w14:paraId="1FE91F55" w14:textId="77777777" w:rsidR="00092CDA" w:rsidRDefault="00092CDA" w:rsidP="00690206"/>
    <w:p w14:paraId="4D63BF45"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E89C41D" w14:textId="0BB39A99" w:rsidR="00E41133"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152919" w:history="1">
        <w:r w:rsidR="00E41133" w:rsidRPr="000D4579">
          <w:rPr>
            <w:rStyle w:val="Hyperlink"/>
            <w:noProof/>
          </w:rPr>
          <w:t>Executive summary</w:t>
        </w:r>
        <w:r w:rsidR="00E41133">
          <w:rPr>
            <w:noProof/>
            <w:webHidden/>
          </w:rPr>
          <w:tab/>
        </w:r>
        <w:r w:rsidR="00E41133">
          <w:rPr>
            <w:noProof/>
            <w:webHidden/>
          </w:rPr>
          <w:fldChar w:fldCharType="begin"/>
        </w:r>
        <w:r w:rsidR="00E41133">
          <w:rPr>
            <w:noProof/>
            <w:webHidden/>
          </w:rPr>
          <w:instrText xml:space="preserve"> PAGEREF _Toc4152919 \h </w:instrText>
        </w:r>
        <w:r w:rsidR="00E41133">
          <w:rPr>
            <w:noProof/>
            <w:webHidden/>
          </w:rPr>
        </w:r>
        <w:r w:rsidR="00E41133">
          <w:rPr>
            <w:noProof/>
            <w:webHidden/>
          </w:rPr>
          <w:fldChar w:fldCharType="separate"/>
        </w:r>
        <w:r w:rsidR="009F3503">
          <w:rPr>
            <w:noProof/>
            <w:webHidden/>
          </w:rPr>
          <w:t>i</w:t>
        </w:r>
        <w:r w:rsidR="00E41133">
          <w:rPr>
            <w:noProof/>
            <w:webHidden/>
          </w:rPr>
          <w:fldChar w:fldCharType="end"/>
        </w:r>
      </w:hyperlink>
    </w:p>
    <w:p w14:paraId="16356913" w14:textId="6EF5BF9F" w:rsidR="00E41133" w:rsidRDefault="009A2B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52920" w:history="1">
        <w:r w:rsidR="00E41133" w:rsidRPr="000D4579">
          <w:rPr>
            <w:rStyle w:val="Hyperlink"/>
            <w:noProof/>
          </w:rPr>
          <w:t xml:space="preserve">1 </w:t>
        </w:r>
        <w:r w:rsidR="00E41133">
          <w:rPr>
            <w:rFonts w:eastAsiaTheme="minorEastAsia" w:cstheme="minorBidi"/>
            <w:b w:val="0"/>
            <w:bCs w:val="0"/>
            <w:caps w:val="0"/>
            <w:noProof/>
            <w:sz w:val="22"/>
            <w:szCs w:val="22"/>
            <w:lang w:eastAsia="en-GB" w:bidi="ar-SA"/>
          </w:rPr>
          <w:tab/>
        </w:r>
        <w:r w:rsidR="00E41133" w:rsidRPr="000D4579">
          <w:rPr>
            <w:rStyle w:val="Hyperlink"/>
            <w:noProof/>
          </w:rPr>
          <w:t>Introduction</w:t>
        </w:r>
        <w:r w:rsidR="00E41133">
          <w:rPr>
            <w:noProof/>
            <w:webHidden/>
          </w:rPr>
          <w:tab/>
        </w:r>
        <w:r w:rsidR="00E41133">
          <w:rPr>
            <w:noProof/>
            <w:webHidden/>
          </w:rPr>
          <w:fldChar w:fldCharType="begin"/>
        </w:r>
        <w:r w:rsidR="00E41133">
          <w:rPr>
            <w:noProof/>
            <w:webHidden/>
          </w:rPr>
          <w:instrText xml:space="preserve"> PAGEREF _Toc4152920 \h </w:instrText>
        </w:r>
        <w:r w:rsidR="00E41133">
          <w:rPr>
            <w:noProof/>
            <w:webHidden/>
          </w:rPr>
        </w:r>
        <w:r w:rsidR="00E41133">
          <w:rPr>
            <w:noProof/>
            <w:webHidden/>
          </w:rPr>
          <w:fldChar w:fldCharType="separate"/>
        </w:r>
        <w:r w:rsidR="009F3503">
          <w:rPr>
            <w:noProof/>
            <w:webHidden/>
          </w:rPr>
          <w:t>2</w:t>
        </w:r>
        <w:r w:rsidR="00E41133">
          <w:rPr>
            <w:noProof/>
            <w:webHidden/>
          </w:rPr>
          <w:fldChar w:fldCharType="end"/>
        </w:r>
      </w:hyperlink>
    </w:p>
    <w:p w14:paraId="1A0CBDE5" w14:textId="785CA734"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21" w:history="1">
        <w:r w:rsidR="00E41133" w:rsidRPr="000D4579">
          <w:rPr>
            <w:rStyle w:val="Hyperlink"/>
            <w:noProof/>
          </w:rPr>
          <w:t>1.1</w:t>
        </w:r>
        <w:r w:rsidR="00E41133">
          <w:rPr>
            <w:rFonts w:eastAsiaTheme="minorEastAsia" w:cstheme="minorBidi"/>
            <w:smallCaps w:val="0"/>
            <w:noProof/>
            <w:sz w:val="22"/>
            <w:szCs w:val="22"/>
            <w:lang w:eastAsia="en-GB" w:bidi="ar-SA"/>
          </w:rPr>
          <w:tab/>
        </w:r>
        <w:r w:rsidR="00E41133" w:rsidRPr="000D4579">
          <w:rPr>
            <w:rStyle w:val="Hyperlink"/>
            <w:noProof/>
          </w:rPr>
          <w:t>Objectives of the assessment</w:t>
        </w:r>
        <w:r w:rsidR="00E41133">
          <w:rPr>
            <w:noProof/>
            <w:webHidden/>
          </w:rPr>
          <w:tab/>
        </w:r>
        <w:r w:rsidR="00E41133">
          <w:rPr>
            <w:noProof/>
            <w:webHidden/>
          </w:rPr>
          <w:fldChar w:fldCharType="begin"/>
        </w:r>
        <w:r w:rsidR="00E41133">
          <w:rPr>
            <w:noProof/>
            <w:webHidden/>
          </w:rPr>
          <w:instrText xml:space="preserve"> PAGEREF _Toc4152921 \h </w:instrText>
        </w:r>
        <w:r w:rsidR="00E41133">
          <w:rPr>
            <w:noProof/>
            <w:webHidden/>
          </w:rPr>
        </w:r>
        <w:r w:rsidR="00E41133">
          <w:rPr>
            <w:noProof/>
            <w:webHidden/>
          </w:rPr>
          <w:fldChar w:fldCharType="separate"/>
        </w:r>
        <w:r w:rsidR="009F3503">
          <w:rPr>
            <w:noProof/>
            <w:webHidden/>
          </w:rPr>
          <w:t>2</w:t>
        </w:r>
        <w:r w:rsidR="00E41133">
          <w:rPr>
            <w:noProof/>
            <w:webHidden/>
          </w:rPr>
          <w:fldChar w:fldCharType="end"/>
        </w:r>
      </w:hyperlink>
    </w:p>
    <w:p w14:paraId="75DDB24F" w14:textId="09965F5D" w:rsidR="00E41133" w:rsidRDefault="009A2B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52922" w:history="1">
        <w:r w:rsidR="00E41133" w:rsidRPr="000D4579">
          <w:rPr>
            <w:rStyle w:val="Hyperlink"/>
            <w:noProof/>
          </w:rPr>
          <w:t>2</w:t>
        </w:r>
        <w:r w:rsidR="00E41133">
          <w:rPr>
            <w:rFonts w:eastAsiaTheme="minorEastAsia" w:cstheme="minorBidi"/>
            <w:b w:val="0"/>
            <w:bCs w:val="0"/>
            <w:caps w:val="0"/>
            <w:noProof/>
            <w:sz w:val="22"/>
            <w:szCs w:val="22"/>
            <w:lang w:eastAsia="en-GB" w:bidi="ar-SA"/>
          </w:rPr>
          <w:tab/>
        </w:r>
        <w:r w:rsidR="00E41133" w:rsidRPr="000D4579">
          <w:rPr>
            <w:rStyle w:val="Hyperlink"/>
            <w:noProof/>
          </w:rPr>
          <w:t>Food technology assessment</w:t>
        </w:r>
        <w:r w:rsidR="00E41133">
          <w:rPr>
            <w:noProof/>
            <w:webHidden/>
          </w:rPr>
          <w:tab/>
        </w:r>
        <w:r w:rsidR="00E41133">
          <w:rPr>
            <w:noProof/>
            <w:webHidden/>
          </w:rPr>
          <w:fldChar w:fldCharType="begin"/>
        </w:r>
        <w:r w:rsidR="00E41133">
          <w:rPr>
            <w:noProof/>
            <w:webHidden/>
          </w:rPr>
          <w:instrText xml:space="preserve"> PAGEREF _Toc4152922 \h </w:instrText>
        </w:r>
        <w:r w:rsidR="00E41133">
          <w:rPr>
            <w:noProof/>
            <w:webHidden/>
          </w:rPr>
        </w:r>
        <w:r w:rsidR="00E41133">
          <w:rPr>
            <w:noProof/>
            <w:webHidden/>
          </w:rPr>
          <w:fldChar w:fldCharType="separate"/>
        </w:r>
        <w:r w:rsidR="009F3503">
          <w:rPr>
            <w:noProof/>
            <w:webHidden/>
          </w:rPr>
          <w:t>2</w:t>
        </w:r>
        <w:r w:rsidR="00E41133">
          <w:rPr>
            <w:noProof/>
            <w:webHidden/>
          </w:rPr>
          <w:fldChar w:fldCharType="end"/>
        </w:r>
      </w:hyperlink>
    </w:p>
    <w:p w14:paraId="550E82C6" w14:textId="52945C3F"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23" w:history="1">
        <w:r w:rsidR="00E41133" w:rsidRPr="000D4579">
          <w:rPr>
            <w:rStyle w:val="Hyperlink"/>
            <w:noProof/>
          </w:rPr>
          <w:t>2.1</w:t>
        </w:r>
        <w:r w:rsidR="00E41133">
          <w:rPr>
            <w:rFonts w:eastAsiaTheme="minorEastAsia" w:cstheme="minorBidi"/>
            <w:smallCaps w:val="0"/>
            <w:noProof/>
            <w:sz w:val="22"/>
            <w:szCs w:val="22"/>
            <w:lang w:eastAsia="en-GB" w:bidi="ar-SA"/>
          </w:rPr>
          <w:tab/>
        </w:r>
        <w:r w:rsidR="00E41133" w:rsidRPr="000D4579">
          <w:rPr>
            <w:rStyle w:val="Hyperlink"/>
            <w:noProof/>
          </w:rPr>
          <w:t>Characterisation of the enzyme</w:t>
        </w:r>
        <w:r w:rsidR="00E41133">
          <w:rPr>
            <w:noProof/>
            <w:webHidden/>
          </w:rPr>
          <w:tab/>
        </w:r>
        <w:r w:rsidR="00E41133">
          <w:rPr>
            <w:noProof/>
            <w:webHidden/>
          </w:rPr>
          <w:fldChar w:fldCharType="begin"/>
        </w:r>
        <w:r w:rsidR="00E41133">
          <w:rPr>
            <w:noProof/>
            <w:webHidden/>
          </w:rPr>
          <w:instrText xml:space="preserve"> PAGEREF _Toc4152923 \h </w:instrText>
        </w:r>
        <w:r w:rsidR="00E41133">
          <w:rPr>
            <w:noProof/>
            <w:webHidden/>
          </w:rPr>
        </w:r>
        <w:r w:rsidR="00E41133">
          <w:rPr>
            <w:noProof/>
            <w:webHidden/>
          </w:rPr>
          <w:fldChar w:fldCharType="separate"/>
        </w:r>
        <w:r w:rsidR="009F3503">
          <w:rPr>
            <w:noProof/>
            <w:webHidden/>
          </w:rPr>
          <w:t>2</w:t>
        </w:r>
        <w:r w:rsidR="00E41133">
          <w:rPr>
            <w:noProof/>
            <w:webHidden/>
          </w:rPr>
          <w:fldChar w:fldCharType="end"/>
        </w:r>
      </w:hyperlink>
    </w:p>
    <w:p w14:paraId="28BBCC5C" w14:textId="446C2652"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24" w:history="1">
        <w:r w:rsidR="00E41133" w:rsidRPr="000D4579">
          <w:rPr>
            <w:rStyle w:val="Hyperlink"/>
            <w:noProof/>
          </w:rPr>
          <w:t>2.1.1</w:t>
        </w:r>
        <w:r w:rsidR="00E41133">
          <w:rPr>
            <w:rFonts w:eastAsiaTheme="minorEastAsia" w:cstheme="minorBidi"/>
            <w:i w:val="0"/>
            <w:iCs w:val="0"/>
            <w:noProof/>
            <w:sz w:val="22"/>
            <w:szCs w:val="22"/>
            <w:lang w:eastAsia="en-GB" w:bidi="ar-SA"/>
          </w:rPr>
          <w:tab/>
        </w:r>
        <w:r w:rsidR="00E41133" w:rsidRPr="000D4579">
          <w:rPr>
            <w:rStyle w:val="Hyperlink"/>
            <w:noProof/>
          </w:rPr>
          <w:t>Identity of the enzyme</w:t>
        </w:r>
        <w:r w:rsidR="00E41133">
          <w:rPr>
            <w:noProof/>
            <w:webHidden/>
          </w:rPr>
          <w:tab/>
        </w:r>
        <w:r w:rsidR="00E41133">
          <w:rPr>
            <w:noProof/>
            <w:webHidden/>
          </w:rPr>
          <w:fldChar w:fldCharType="begin"/>
        </w:r>
        <w:r w:rsidR="00E41133">
          <w:rPr>
            <w:noProof/>
            <w:webHidden/>
          </w:rPr>
          <w:instrText xml:space="preserve"> PAGEREF _Toc4152924 \h </w:instrText>
        </w:r>
        <w:r w:rsidR="00E41133">
          <w:rPr>
            <w:noProof/>
            <w:webHidden/>
          </w:rPr>
        </w:r>
        <w:r w:rsidR="00E41133">
          <w:rPr>
            <w:noProof/>
            <w:webHidden/>
          </w:rPr>
          <w:fldChar w:fldCharType="separate"/>
        </w:r>
        <w:r w:rsidR="009F3503">
          <w:rPr>
            <w:noProof/>
            <w:webHidden/>
          </w:rPr>
          <w:t>2</w:t>
        </w:r>
        <w:r w:rsidR="00E41133">
          <w:rPr>
            <w:noProof/>
            <w:webHidden/>
          </w:rPr>
          <w:fldChar w:fldCharType="end"/>
        </w:r>
      </w:hyperlink>
    </w:p>
    <w:p w14:paraId="479BA483" w14:textId="1700BB3A"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25" w:history="1">
        <w:r w:rsidR="00E41133" w:rsidRPr="000D4579">
          <w:rPr>
            <w:rStyle w:val="Hyperlink"/>
            <w:noProof/>
          </w:rPr>
          <w:t>2.1.2</w:t>
        </w:r>
        <w:r w:rsidR="00E41133">
          <w:rPr>
            <w:rFonts w:eastAsiaTheme="minorEastAsia" w:cstheme="minorBidi"/>
            <w:i w:val="0"/>
            <w:iCs w:val="0"/>
            <w:noProof/>
            <w:sz w:val="22"/>
            <w:szCs w:val="22"/>
            <w:lang w:eastAsia="en-GB" w:bidi="ar-SA"/>
          </w:rPr>
          <w:tab/>
        </w:r>
        <w:r w:rsidR="00E41133" w:rsidRPr="000D4579">
          <w:rPr>
            <w:rStyle w:val="Hyperlink"/>
            <w:noProof/>
          </w:rPr>
          <w:t>Technological purpose of the enzyme</w:t>
        </w:r>
        <w:r w:rsidR="00E41133">
          <w:rPr>
            <w:noProof/>
            <w:webHidden/>
          </w:rPr>
          <w:tab/>
        </w:r>
        <w:r w:rsidR="00E41133">
          <w:rPr>
            <w:noProof/>
            <w:webHidden/>
          </w:rPr>
          <w:fldChar w:fldCharType="begin"/>
        </w:r>
        <w:r w:rsidR="00E41133">
          <w:rPr>
            <w:noProof/>
            <w:webHidden/>
          </w:rPr>
          <w:instrText xml:space="preserve"> PAGEREF _Toc4152925 \h </w:instrText>
        </w:r>
        <w:r w:rsidR="00E41133">
          <w:rPr>
            <w:noProof/>
            <w:webHidden/>
          </w:rPr>
        </w:r>
        <w:r w:rsidR="00E41133">
          <w:rPr>
            <w:noProof/>
            <w:webHidden/>
          </w:rPr>
          <w:fldChar w:fldCharType="separate"/>
        </w:r>
        <w:r w:rsidR="009F3503">
          <w:rPr>
            <w:noProof/>
            <w:webHidden/>
          </w:rPr>
          <w:t>3</w:t>
        </w:r>
        <w:r w:rsidR="00E41133">
          <w:rPr>
            <w:noProof/>
            <w:webHidden/>
          </w:rPr>
          <w:fldChar w:fldCharType="end"/>
        </w:r>
      </w:hyperlink>
    </w:p>
    <w:p w14:paraId="39030D2F" w14:textId="3F18BFBF"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26" w:history="1">
        <w:r w:rsidR="00E41133" w:rsidRPr="000D4579">
          <w:rPr>
            <w:rStyle w:val="Hyperlink"/>
            <w:noProof/>
          </w:rPr>
          <w:t>2.1.3</w:t>
        </w:r>
        <w:r w:rsidR="00E41133">
          <w:rPr>
            <w:rFonts w:eastAsiaTheme="minorEastAsia" w:cstheme="minorBidi"/>
            <w:i w:val="0"/>
            <w:iCs w:val="0"/>
            <w:noProof/>
            <w:sz w:val="22"/>
            <w:szCs w:val="22"/>
            <w:lang w:eastAsia="en-GB" w:bidi="ar-SA"/>
          </w:rPr>
          <w:tab/>
        </w:r>
        <w:r w:rsidR="00E41133" w:rsidRPr="000D4579">
          <w:rPr>
            <w:rStyle w:val="Hyperlink"/>
            <w:noProof/>
          </w:rPr>
          <w:t>Technological justification of the enzyme</w:t>
        </w:r>
        <w:r w:rsidR="00E41133">
          <w:rPr>
            <w:noProof/>
            <w:webHidden/>
          </w:rPr>
          <w:tab/>
        </w:r>
        <w:r w:rsidR="00E41133">
          <w:rPr>
            <w:noProof/>
            <w:webHidden/>
          </w:rPr>
          <w:fldChar w:fldCharType="begin"/>
        </w:r>
        <w:r w:rsidR="00E41133">
          <w:rPr>
            <w:noProof/>
            <w:webHidden/>
          </w:rPr>
          <w:instrText xml:space="preserve"> PAGEREF _Toc4152926 \h </w:instrText>
        </w:r>
        <w:r w:rsidR="00E41133">
          <w:rPr>
            <w:noProof/>
            <w:webHidden/>
          </w:rPr>
        </w:r>
        <w:r w:rsidR="00E41133">
          <w:rPr>
            <w:noProof/>
            <w:webHidden/>
          </w:rPr>
          <w:fldChar w:fldCharType="separate"/>
        </w:r>
        <w:r w:rsidR="009F3503">
          <w:rPr>
            <w:noProof/>
            <w:webHidden/>
          </w:rPr>
          <w:t>5</w:t>
        </w:r>
        <w:r w:rsidR="00E41133">
          <w:rPr>
            <w:noProof/>
            <w:webHidden/>
          </w:rPr>
          <w:fldChar w:fldCharType="end"/>
        </w:r>
      </w:hyperlink>
    </w:p>
    <w:p w14:paraId="451D8483" w14:textId="6EFB2C5B"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27" w:history="1">
        <w:r w:rsidR="00E41133" w:rsidRPr="000D4579">
          <w:rPr>
            <w:rStyle w:val="Hyperlink"/>
            <w:noProof/>
          </w:rPr>
          <w:t>2.2</w:t>
        </w:r>
        <w:r w:rsidR="00E41133">
          <w:rPr>
            <w:rFonts w:eastAsiaTheme="minorEastAsia" w:cstheme="minorBidi"/>
            <w:smallCaps w:val="0"/>
            <w:noProof/>
            <w:sz w:val="22"/>
            <w:szCs w:val="22"/>
            <w:lang w:eastAsia="en-GB" w:bidi="ar-SA"/>
          </w:rPr>
          <w:tab/>
        </w:r>
        <w:r w:rsidR="00E41133" w:rsidRPr="000D4579">
          <w:rPr>
            <w:rStyle w:val="Hyperlink"/>
            <w:noProof/>
          </w:rPr>
          <w:t>Manufacturing process</w:t>
        </w:r>
        <w:r w:rsidR="00E41133">
          <w:rPr>
            <w:noProof/>
            <w:webHidden/>
          </w:rPr>
          <w:tab/>
        </w:r>
        <w:r w:rsidR="00E41133">
          <w:rPr>
            <w:noProof/>
            <w:webHidden/>
          </w:rPr>
          <w:fldChar w:fldCharType="begin"/>
        </w:r>
        <w:r w:rsidR="00E41133">
          <w:rPr>
            <w:noProof/>
            <w:webHidden/>
          </w:rPr>
          <w:instrText xml:space="preserve"> PAGEREF _Toc4152927 \h </w:instrText>
        </w:r>
        <w:r w:rsidR="00E41133">
          <w:rPr>
            <w:noProof/>
            <w:webHidden/>
          </w:rPr>
        </w:r>
        <w:r w:rsidR="00E41133">
          <w:rPr>
            <w:noProof/>
            <w:webHidden/>
          </w:rPr>
          <w:fldChar w:fldCharType="separate"/>
        </w:r>
        <w:r w:rsidR="009F3503">
          <w:rPr>
            <w:noProof/>
            <w:webHidden/>
          </w:rPr>
          <w:t>5</w:t>
        </w:r>
        <w:r w:rsidR="00E41133">
          <w:rPr>
            <w:noProof/>
            <w:webHidden/>
          </w:rPr>
          <w:fldChar w:fldCharType="end"/>
        </w:r>
      </w:hyperlink>
    </w:p>
    <w:p w14:paraId="18717786" w14:textId="4C491A4D"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28" w:history="1">
        <w:r w:rsidR="00E41133" w:rsidRPr="000D4579">
          <w:rPr>
            <w:rStyle w:val="Hyperlink"/>
            <w:noProof/>
          </w:rPr>
          <w:t>2.2.1</w:t>
        </w:r>
        <w:r w:rsidR="00E41133">
          <w:rPr>
            <w:rFonts w:eastAsiaTheme="minorEastAsia" w:cstheme="minorBidi"/>
            <w:i w:val="0"/>
            <w:iCs w:val="0"/>
            <w:noProof/>
            <w:sz w:val="22"/>
            <w:szCs w:val="22"/>
            <w:lang w:eastAsia="en-GB" w:bidi="ar-SA"/>
          </w:rPr>
          <w:tab/>
        </w:r>
        <w:r w:rsidR="00E41133" w:rsidRPr="000D4579">
          <w:rPr>
            <w:rStyle w:val="Hyperlink"/>
            <w:noProof/>
          </w:rPr>
          <w:t>Production of the enzyme</w:t>
        </w:r>
        <w:r w:rsidR="00E41133">
          <w:rPr>
            <w:noProof/>
            <w:webHidden/>
          </w:rPr>
          <w:tab/>
        </w:r>
        <w:r w:rsidR="00E41133">
          <w:rPr>
            <w:noProof/>
            <w:webHidden/>
          </w:rPr>
          <w:fldChar w:fldCharType="begin"/>
        </w:r>
        <w:r w:rsidR="00E41133">
          <w:rPr>
            <w:noProof/>
            <w:webHidden/>
          </w:rPr>
          <w:instrText xml:space="preserve"> PAGEREF _Toc4152928 \h </w:instrText>
        </w:r>
        <w:r w:rsidR="00E41133">
          <w:rPr>
            <w:noProof/>
            <w:webHidden/>
          </w:rPr>
        </w:r>
        <w:r w:rsidR="00E41133">
          <w:rPr>
            <w:noProof/>
            <w:webHidden/>
          </w:rPr>
          <w:fldChar w:fldCharType="separate"/>
        </w:r>
        <w:r w:rsidR="009F3503">
          <w:rPr>
            <w:noProof/>
            <w:webHidden/>
          </w:rPr>
          <w:t>5</w:t>
        </w:r>
        <w:r w:rsidR="00E41133">
          <w:rPr>
            <w:noProof/>
            <w:webHidden/>
          </w:rPr>
          <w:fldChar w:fldCharType="end"/>
        </w:r>
      </w:hyperlink>
    </w:p>
    <w:p w14:paraId="540312AA" w14:textId="53549520"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29" w:history="1">
        <w:r w:rsidR="00E41133" w:rsidRPr="000D4579">
          <w:rPr>
            <w:rStyle w:val="Hyperlink"/>
            <w:noProof/>
          </w:rPr>
          <w:t>2.2.2</w:t>
        </w:r>
        <w:r w:rsidR="00E41133">
          <w:rPr>
            <w:rFonts w:eastAsiaTheme="minorEastAsia" w:cstheme="minorBidi"/>
            <w:i w:val="0"/>
            <w:iCs w:val="0"/>
            <w:noProof/>
            <w:sz w:val="22"/>
            <w:szCs w:val="22"/>
            <w:lang w:eastAsia="en-GB" w:bidi="ar-SA"/>
          </w:rPr>
          <w:tab/>
        </w:r>
        <w:r w:rsidR="00E41133" w:rsidRPr="000D4579">
          <w:rPr>
            <w:rStyle w:val="Hyperlink"/>
            <w:noProof/>
          </w:rPr>
          <w:t>Specifications</w:t>
        </w:r>
        <w:r w:rsidR="00E41133">
          <w:rPr>
            <w:noProof/>
            <w:webHidden/>
          </w:rPr>
          <w:tab/>
        </w:r>
        <w:r w:rsidR="00E41133">
          <w:rPr>
            <w:noProof/>
            <w:webHidden/>
          </w:rPr>
          <w:fldChar w:fldCharType="begin"/>
        </w:r>
        <w:r w:rsidR="00E41133">
          <w:rPr>
            <w:noProof/>
            <w:webHidden/>
          </w:rPr>
          <w:instrText xml:space="preserve"> PAGEREF _Toc4152929 \h </w:instrText>
        </w:r>
        <w:r w:rsidR="00E41133">
          <w:rPr>
            <w:noProof/>
            <w:webHidden/>
          </w:rPr>
        </w:r>
        <w:r w:rsidR="00E41133">
          <w:rPr>
            <w:noProof/>
            <w:webHidden/>
          </w:rPr>
          <w:fldChar w:fldCharType="separate"/>
        </w:r>
        <w:r w:rsidR="009F3503">
          <w:rPr>
            <w:noProof/>
            <w:webHidden/>
          </w:rPr>
          <w:t>6</w:t>
        </w:r>
        <w:r w:rsidR="00E41133">
          <w:rPr>
            <w:noProof/>
            <w:webHidden/>
          </w:rPr>
          <w:fldChar w:fldCharType="end"/>
        </w:r>
      </w:hyperlink>
    </w:p>
    <w:p w14:paraId="14EFEC70" w14:textId="197274C7"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30" w:history="1">
        <w:r w:rsidR="00E41133" w:rsidRPr="000D4579">
          <w:rPr>
            <w:rStyle w:val="Hyperlink"/>
            <w:noProof/>
          </w:rPr>
          <w:t>2.3</w:t>
        </w:r>
        <w:r w:rsidR="00E41133">
          <w:rPr>
            <w:rFonts w:eastAsiaTheme="minorEastAsia" w:cstheme="minorBidi"/>
            <w:smallCaps w:val="0"/>
            <w:noProof/>
            <w:sz w:val="22"/>
            <w:szCs w:val="22"/>
            <w:lang w:eastAsia="en-GB" w:bidi="ar-SA"/>
          </w:rPr>
          <w:tab/>
        </w:r>
        <w:r w:rsidR="00E41133" w:rsidRPr="000D4579">
          <w:rPr>
            <w:rStyle w:val="Hyperlink"/>
            <w:noProof/>
          </w:rPr>
          <w:t>Food technology conclusion</w:t>
        </w:r>
        <w:r w:rsidR="00E41133">
          <w:rPr>
            <w:noProof/>
            <w:webHidden/>
          </w:rPr>
          <w:tab/>
        </w:r>
        <w:r w:rsidR="00E41133">
          <w:rPr>
            <w:noProof/>
            <w:webHidden/>
          </w:rPr>
          <w:fldChar w:fldCharType="begin"/>
        </w:r>
        <w:r w:rsidR="00E41133">
          <w:rPr>
            <w:noProof/>
            <w:webHidden/>
          </w:rPr>
          <w:instrText xml:space="preserve"> PAGEREF _Toc4152930 \h </w:instrText>
        </w:r>
        <w:r w:rsidR="00E41133">
          <w:rPr>
            <w:noProof/>
            <w:webHidden/>
          </w:rPr>
        </w:r>
        <w:r w:rsidR="00E41133">
          <w:rPr>
            <w:noProof/>
            <w:webHidden/>
          </w:rPr>
          <w:fldChar w:fldCharType="separate"/>
        </w:r>
        <w:r w:rsidR="009F3503">
          <w:rPr>
            <w:noProof/>
            <w:webHidden/>
          </w:rPr>
          <w:t>7</w:t>
        </w:r>
        <w:r w:rsidR="00E41133">
          <w:rPr>
            <w:noProof/>
            <w:webHidden/>
          </w:rPr>
          <w:fldChar w:fldCharType="end"/>
        </w:r>
      </w:hyperlink>
    </w:p>
    <w:p w14:paraId="534E2EA6" w14:textId="4F2F43FF" w:rsidR="00E41133" w:rsidRDefault="009A2B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52931" w:history="1">
        <w:r w:rsidR="00E41133" w:rsidRPr="000D4579">
          <w:rPr>
            <w:rStyle w:val="Hyperlink"/>
            <w:noProof/>
          </w:rPr>
          <w:t>3</w:t>
        </w:r>
        <w:r w:rsidR="00E41133">
          <w:rPr>
            <w:rFonts w:eastAsiaTheme="minorEastAsia" w:cstheme="minorBidi"/>
            <w:b w:val="0"/>
            <w:bCs w:val="0"/>
            <w:caps w:val="0"/>
            <w:noProof/>
            <w:sz w:val="22"/>
            <w:szCs w:val="22"/>
            <w:lang w:eastAsia="en-GB" w:bidi="ar-SA"/>
          </w:rPr>
          <w:tab/>
        </w:r>
        <w:r w:rsidR="00E41133" w:rsidRPr="000D4579">
          <w:rPr>
            <w:rStyle w:val="Hyperlink"/>
            <w:noProof/>
          </w:rPr>
          <w:t>Safety assessment</w:t>
        </w:r>
        <w:r w:rsidR="00E41133">
          <w:rPr>
            <w:noProof/>
            <w:webHidden/>
          </w:rPr>
          <w:tab/>
        </w:r>
        <w:r w:rsidR="00E41133">
          <w:rPr>
            <w:noProof/>
            <w:webHidden/>
          </w:rPr>
          <w:fldChar w:fldCharType="begin"/>
        </w:r>
        <w:r w:rsidR="00E41133">
          <w:rPr>
            <w:noProof/>
            <w:webHidden/>
          </w:rPr>
          <w:instrText xml:space="preserve"> PAGEREF _Toc4152931 \h </w:instrText>
        </w:r>
        <w:r w:rsidR="00E41133">
          <w:rPr>
            <w:noProof/>
            <w:webHidden/>
          </w:rPr>
        </w:r>
        <w:r w:rsidR="00E41133">
          <w:rPr>
            <w:noProof/>
            <w:webHidden/>
          </w:rPr>
          <w:fldChar w:fldCharType="separate"/>
        </w:r>
        <w:r w:rsidR="009F3503">
          <w:rPr>
            <w:noProof/>
            <w:webHidden/>
          </w:rPr>
          <w:t>8</w:t>
        </w:r>
        <w:r w:rsidR="00E41133">
          <w:rPr>
            <w:noProof/>
            <w:webHidden/>
          </w:rPr>
          <w:fldChar w:fldCharType="end"/>
        </w:r>
      </w:hyperlink>
    </w:p>
    <w:p w14:paraId="7960655A" w14:textId="211CA849"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32" w:history="1">
        <w:r w:rsidR="00E41133" w:rsidRPr="000D4579">
          <w:rPr>
            <w:rStyle w:val="Hyperlink"/>
            <w:noProof/>
          </w:rPr>
          <w:t>3.1</w:t>
        </w:r>
        <w:r w:rsidR="00E41133">
          <w:rPr>
            <w:rFonts w:eastAsiaTheme="minorEastAsia" w:cstheme="minorBidi"/>
            <w:smallCaps w:val="0"/>
            <w:noProof/>
            <w:sz w:val="22"/>
            <w:szCs w:val="22"/>
            <w:lang w:eastAsia="en-GB" w:bidi="ar-SA"/>
          </w:rPr>
          <w:tab/>
        </w:r>
        <w:r w:rsidR="00E41133" w:rsidRPr="000D4579">
          <w:rPr>
            <w:rStyle w:val="Hyperlink"/>
            <w:noProof/>
          </w:rPr>
          <w:t>Objectives for safety assessment</w:t>
        </w:r>
        <w:r w:rsidR="00E41133">
          <w:rPr>
            <w:noProof/>
            <w:webHidden/>
          </w:rPr>
          <w:tab/>
        </w:r>
        <w:r w:rsidR="00E41133">
          <w:rPr>
            <w:noProof/>
            <w:webHidden/>
          </w:rPr>
          <w:fldChar w:fldCharType="begin"/>
        </w:r>
        <w:r w:rsidR="00E41133">
          <w:rPr>
            <w:noProof/>
            <w:webHidden/>
          </w:rPr>
          <w:instrText xml:space="preserve"> PAGEREF _Toc4152932 \h </w:instrText>
        </w:r>
        <w:r w:rsidR="00E41133">
          <w:rPr>
            <w:noProof/>
            <w:webHidden/>
          </w:rPr>
        </w:r>
        <w:r w:rsidR="00E41133">
          <w:rPr>
            <w:noProof/>
            <w:webHidden/>
          </w:rPr>
          <w:fldChar w:fldCharType="separate"/>
        </w:r>
        <w:r w:rsidR="009F3503">
          <w:rPr>
            <w:noProof/>
            <w:webHidden/>
          </w:rPr>
          <w:t>8</w:t>
        </w:r>
        <w:r w:rsidR="00E41133">
          <w:rPr>
            <w:noProof/>
            <w:webHidden/>
          </w:rPr>
          <w:fldChar w:fldCharType="end"/>
        </w:r>
      </w:hyperlink>
    </w:p>
    <w:p w14:paraId="021D1FBE" w14:textId="75521DFF"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33" w:history="1">
        <w:r w:rsidR="00E41133" w:rsidRPr="000D4579">
          <w:rPr>
            <w:rStyle w:val="Hyperlink"/>
            <w:noProof/>
          </w:rPr>
          <w:t>3.2</w:t>
        </w:r>
        <w:r w:rsidR="00E41133">
          <w:rPr>
            <w:rFonts w:eastAsiaTheme="minorEastAsia" w:cstheme="minorBidi"/>
            <w:smallCaps w:val="0"/>
            <w:noProof/>
            <w:sz w:val="22"/>
            <w:szCs w:val="22"/>
            <w:lang w:eastAsia="en-GB" w:bidi="ar-SA"/>
          </w:rPr>
          <w:tab/>
        </w:r>
        <w:r w:rsidR="00E41133" w:rsidRPr="000D4579">
          <w:rPr>
            <w:rStyle w:val="Hyperlink"/>
            <w:noProof/>
          </w:rPr>
          <w:t>History of use</w:t>
        </w:r>
        <w:r w:rsidR="00E41133">
          <w:rPr>
            <w:noProof/>
            <w:webHidden/>
          </w:rPr>
          <w:tab/>
        </w:r>
        <w:r w:rsidR="00E41133">
          <w:rPr>
            <w:noProof/>
            <w:webHidden/>
          </w:rPr>
          <w:fldChar w:fldCharType="begin"/>
        </w:r>
        <w:r w:rsidR="00E41133">
          <w:rPr>
            <w:noProof/>
            <w:webHidden/>
          </w:rPr>
          <w:instrText xml:space="preserve"> PAGEREF _Toc4152933 \h </w:instrText>
        </w:r>
        <w:r w:rsidR="00E41133">
          <w:rPr>
            <w:noProof/>
            <w:webHidden/>
          </w:rPr>
        </w:r>
        <w:r w:rsidR="00E41133">
          <w:rPr>
            <w:noProof/>
            <w:webHidden/>
          </w:rPr>
          <w:fldChar w:fldCharType="separate"/>
        </w:r>
        <w:r w:rsidR="009F3503">
          <w:rPr>
            <w:noProof/>
            <w:webHidden/>
          </w:rPr>
          <w:t>8</w:t>
        </w:r>
        <w:r w:rsidR="00E41133">
          <w:rPr>
            <w:noProof/>
            <w:webHidden/>
          </w:rPr>
          <w:fldChar w:fldCharType="end"/>
        </w:r>
      </w:hyperlink>
    </w:p>
    <w:p w14:paraId="32575AD2" w14:textId="72635E41"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34" w:history="1">
        <w:r w:rsidR="00E41133" w:rsidRPr="000D4579">
          <w:rPr>
            <w:rStyle w:val="Hyperlink"/>
            <w:noProof/>
          </w:rPr>
          <w:t>3.2.1</w:t>
        </w:r>
        <w:r w:rsidR="00E41133">
          <w:rPr>
            <w:rFonts w:eastAsiaTheme="minorEastAsia" w:cstheme="minorBidi"/>
            <w:i w:val="0"/>
            <w:iCs w:val="0"/>
            <w:noProof/>
            <w:sz w:val="22"/>
            <w:szCs w:val="22"/>
            <w:lang w:eastAsia="en-GB" w:bidi="ar-SA"/>
          </w:rPr>
          <w:tab/>
        </w:r>
        <w:r w:rsidR="00E41133" w:rsidRPr="000D4579">
          <w:rPr>
            <w:rStyle w:val="Hyperlink"/>
            <w:noProof/>
          </w:rPr>
          <w:t>Host organism</w:t>
        </w:r>
        <w:r w:rsidR="00E41133">
          <w:rPr>
            <w:noProof/>
            <w:webHidden/>
          </w:rPr>
          <w:tab/>
        </w:r>
        <w:r w:rsidR="00E41133">
          <w:rPr>
            <w:noProof/>
            <w:webHidden/>
          </w:rPr>
          <w:fldChar w:fldCharType="begin"/>
        </w:r>
        <w:r w:rsidR="00E41133">
          <w:rPr>
            <w:noProof/>
            <w:webHidden/>
          </w:rPr>
          <w:instrText xml:space="preserve"> PAGEREF _Toc4152934 \h </w:instrText>
        </w:r>
        <w:r w:rsidR="00E41133">
          <w:rPr>
            <w:noProof/>
            <w:webHidden/>
          </w:rPr>
        </w:r>
        <w:r w:rsidR="00E41133">
          <w:rPr>
            <w:noProof/>
            <w:webHidden/>
          </w:rPr>
          <w:fldChar w:fldCharType="separate"/>
        </w:r>
        <w:r w:rsidR="009F3503">
          <w:rPr>
            <w:noProof/>
            <w:webHidden/>
          </w:rPr>
          <w:t>8</w:t>
        </w:r>
        <w:r w:rsidR="00E41133">
          <w:rPr>
            <w:noProof/>
            <w:webHidden/>
          </w:rPr>
          <w:fldChar w:fldCharType="end"/>
        </w:r>
      </w:hyperlink>
    </w:p>
    <w:p w14:paraId="5C43F6DE" w14:textId="1C55AF3C"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35" w:history="1">
        <w:r w:rsidR="00E41133" w:rsidRPr="000D4579">
          <w:rPr>
            <w:rStyle w:val="Hyperlink"/>
            <w:noProof/>
          </w:rPr>
          <w:t>3.2.2</w:t>
        </w:r>
        <w:r w:rsidR="00E41133">
          <w:rPr>
            <w:rFonts w:eastAsiaTheme="minorEastAsia" w:cstheme="minorBidi"/>
            <w:i w:val="0"/>
            <w:iCs w:val="0"/>
            <w:noProof/>
            <w:sz w:val="22"/>
            <w:szCs w:val="22"/>
            <w:lang w:eastAsia="en-GB" w:bidi="ar-SA"/>
          </w:rPr>
          <w:tab/>
        </w:r>
        <w:r w:rsidR="00E41133" w:rsidRPr="000D4579">
          <w:rPr>
            <w:rStyle w:val="Hyperlink"/>
            <w:noProof/>
          </w:rPr>
          <w:t>Gene donor organism(s)</w:t>
        </w:r>
        <w:r w:rsidR="00E41133">
          <w:rPr>
            <w:noProof/>
            <w:webHidden/>
          </w:rPr>
          <w:tab/>
        </w:r>
        <w:r w:rsidR="00E41133">
          <w:rPr>
            <w:noProof/>
            <w:webHidden/>
          </w:rPr>
          <w:fldChar w:fldCharType="begin"/>
        </w:r>
        <w:r w:rsidR="00E41133">
          <w:rPr>
            <w:noProof/>
            <w:webHidden/>
          </w:rPr>
          <w:instrText xml:space="preserve"> PAGEREF _Toc4152935 \h </w:instrText>
        </w:r>
        <w:r w:rsidR="00E41133">
          <w:rPr>
            <w:noProof/>
            <w:webHidden/>
          </w:rPr>
        </w:r>
        <w:r w:rsidR="00E41133">
          <w:rPr>
            <w:noProof/>
            <w:webHidden/>
          </w:rPr>
          <w:fldChar w:fldCharType="separate"/>
        </w:r>
        <w:r w:rsidR="009F3503">
          <w:rPr>
            <w:noProof/>
            <w:webHidden/>
          </w:rPr>
          <w:t>8</w:t>
        </w:r>
        <w:r w:rsidR="00E41133">
          <w:rPr>
            <w:noProof/>
            <w:webHidden/>
          </w:rPr>
          <w:fldChar w:fldCharType="end"/>
        </w:r>
      </w:hyperlink>
    </w:p>
    <w:p w14:paraId="3662858E" w14:textId="40CB7428"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36" w:history="1">
        <w:r w:rsidR="00E41133" w:rsidRPr="000D4579">
          <w:rPr>
            <w:rStyle w:val="Hyperlink"/>
            <w:noProof/>
          </w:rPr>
          <w:t>3.3</w:t>
        </w:r>
        <w:r w:rsidR="00E41133">
          <w:rPr>
            <w:rFonts w:eastAsiaTheme="minorEastAsia" w:cstheme="minorBidi"/>
            <w:smallCaps w:val="0"/>
            <w:noProof/>
            <w:sz w:val="22"/>
            <w:szCs w:val="22"/>
            <w:lang w:eastAsia="en-GB" w:bidi="ar-SA"/>
          </w:rPr>
          <w:tab/>
        </w:r>
        <w:r w:rsidR="00E41133" w:rsidRPr="000D4579">
          <w:rPr>
            <w:rStyle w:val="Hyperlink"/>
            <w:noProof/>
          </w:rPr>
          <w:t>Characterisation of the genetic modification(s)</w:t>
        </w:r>
        <w:r w:rsidR="00E41133">
          <w:rPr>
            <w:noProof/>
            <w:webHidden/>
          </w:rPr>
          <w:tab/>
        </w:r>
        <w:r w:rsidR="00E41133">
          <w:rPr>
            <w:noProof/>
            <w:webHidden/>
          </w:rPr>
          <w:fldChar w:fldCharType="begin"/>
        </w:r>
        <w:r w:rsidR="00E41133">
          <w:rPr>
            <w:noProof/>
            <w:webHidden/>
          </w:rPr>
          <w:instrText xml:space="preserve"> PAGEREF _Toc4152936 \h </w:instrText>
        </w:r>
        <w:r w:rsidR="00E41133">
          <w:rPr>
            <w:noProof/>
            <w:webHidden/>
          </w:rPr>
        </w:r>
        <w:r w:rsidR="00E41133">
          <w:rPr>
            <w:noProof/>
            <w:webHidden/>
          </w:rPr>
          <w:fldChar w:fldCharType="separate"/>
        </w:r>
        <w:r w:rsidR="009F3503">
          <w:rPr>
            <w:noProof/>
            <w:webHidden/>
          </w:rPr>
          <w:t>9</w:t>
        </w:r>
        <w:r w:rsidR="00E41133">
          <w:rPr>
            <w:noProof/>
            <w:webHidden/>
          </w:rPr>
          <w:fldChar w:fldCharType="end"/>
        </w:r>
      </w:hyperlink>
    </w:p>
    <w:p w14:paraId="7CAA696E" w14:textId="5D5CFA92" w:rsidR="00E41133" w:rsidRDefault="009A2B9A">
      <w:pPr>
        <w:pStyle w:val="TOC2"/>
        <w:tabs>
          <w:tab w:val="left" w:pos="880"/>
          <w:tab w:val="right" w:leader="dot" w:pos="9060"/>
        </w:tabs>
        <w:rPr>
          <w:rFonts w:eastAsiaTheme="minorEastAsia" w:cstheme="minorBidi"/>
          <w:smallCaps w:val="0"/>
          <w:noProof/>
          <w:sz w:val="22"/>
          <w:szCs w:val="22"/>
          <w:lang w:eastAsia="en-GB" w:bidi="ar-SA"/>
        </w:rPr>
      </w:pPr>
      <w:hyperlink w:anchor="_Toc4152937" w:history="1">
        <w:r w:rsidR="00E41133" w:rsidRPr="000D4579">
          <w:rPr>
            <w:rStyle w:val="Hyperlink"/>
            <w:noProof/>
          </w:rPr>
          <w:t>3.4</w:t>
        </w:r>
        <w:r w:rsidR="00E41133">
          <w:rPr>
            <w:rFonts w:eastAsiaTheme="minorEastAsia" w:cstheme="minorBidi"/>
            <w:smallCaps w:val="0"/>
            <w:noProof/>
            <w:sz w:val="22"/>
            <w:szCs w:val="22"/>
            <w:lang w:eastAsia="en-GB" w:bidi="ar-SA"/>
          </w:rPr>
          <w:tab/>
        </w:r>
        <w:r w:rsidR="00E41133" w:rsidRPr="000D4579">
          <w:rPr>
            <w:rStyle w:val="Hyperlink"/>
            <w:noProof/>
          </w:rPr>
          <w:t>Safety of triacylglycerol lipase</w:t>
        </w:r>
        <w:r w:rsidR="00E41133">
          <w:rPr>
            <w:noProof/>
            <w:webHidden/>
          </w:rPr>
          <w:tab/>
        </w:r>
        <w:r w:rsidR="00E41133">
          <w:rPr>
            <w:noProof/>
            <w:webHidden/>
          </w:rPr>
          <w:fldChar w:fldCharType="begin"/>
        </w:r>
        <w:r w:rsidR="00E41133">
          <w:rPr>
            <w:noProof/>
            <w:webHidden/>
          </w:rPr>
          <w:instrText xml:space="preserve"> PAGEREF _Toc4152937 \h </w:instrText>
        </w:r>
        <w:r w:rsidR="00E41133">
          <w:rPr>
            <w:noProof/>
            <w:webHidden/>
          </w:rPr>
        </w:r>
        <w:r w:rsidR="00E41133">
          <w:rPr>
            <w:noProof/>
            <w:webHidden/>
          </w:rPr>
          <w:fldChar w:fldCharType="separate"/>
        </w:r>
        <w:r w:rsidR="009F3503">
          <w:rPr>
            <w:noProof/>
            <w:webHidden/>
          </w:rPr>
          <w:t>10</w:t>
        </w:r>
        <w:r w:rsidR="00E41133">
          <w:rPr>
            <w:noProof/>
            <w:webHidden/>
          </w:rPr>
          <w:fldChar w:fldCharType="end"/>
        </w:r>
      </w:hyperlink>
    </w:p>
    <w:p w14:paraId="309BA0CA" w14:textId="18C370DA"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38" w:history="1">
        <w:r w:rsidR="00E41133" w:rsidRPr="000D4579">
          <w:rPr>
            <w:rStyle w:val="Hyperlink"/>
            <w:noProof/>
          </w:rPr>
          <w:t>3.4.1</w:t>
        </w:r>
        <w:r w:rsidR="00E41133">
          <w:rPr>
            <w:rFonts w:eastAsiaTheme="minorEastAsia" w:cstheme="minorBidi"/>
            <w:i w:val="0"/>
            <w:iCs w:val="0"/>
            <w:noProof/>
            <w:sz w:val="22"/>
            <w:szCs w:val="22"/>
            <w:lang w:eastAsia="en-GB" w:bidi="ar-SA"/>
          </w:rPr>
          <w:tab/>
        </w:r>
        <w:r w:rsidR="00E41133" w:rsidRPr="000D4579">
          <w:rPr>
            <w:rStyle w:val="Hyperlink"/>
            <w:noProof/>
          </w:rPr>
          <w:t>History of safe use of the enzyme</w:t>
        </w:r>
        <w:r w:rsidR="00E41133">
          <w:rPr>
            <w:noProof/>
            <w:webHidden/>
          </w:rPr>
          <w:tab/>
        </w:r>
        <w:r w:rsidR="00E41133">
          <w:rPr>
            <w:noProof/>
            <w:webHidden/>
          </w:rPr>
          <w:fldChar w:fldCharType="begin"/>
        </w:r>
        <w:r w:rsidR="00E41133">
          <w:rPr>
            <w:noProof/>
            <w:webHidden/>
          </w:rPr>
          <w:instrText xml:space="preserve"> PAGEREF _Toc4152938 \h </w:instrText>
        </w:r>
        <w:r w:rsidR="00E41133">
          <w:rPr>
            <w:noProof/>
            <w:webHidden/>
          </w:rPr>
        </w:r>
        <w:r w:rsidR="00E41133">
          <w:rPr>
            <w:noProof/>
            <w:webHidden/>
          </w:rPr>
          <w:fldChar w:fldCharType="separate"/>
        </w:r>
        <w:r w:rsidR="009F3503">
          <w:rPr>
            <w:noProof/>
            <w:webHidden/>
          </w:rPr>
          <w:t>10</w:t>
        </w:r>
        <w:r w:rsidR="00E41133">
          <w:rPr>
            <w:noProof/>
            <w:webHidden/>
          </w:rPr>
          <w:fldChar w:fldCharType="end"/>
        </w:r>
      </w:hyperlink>
    </w:p>
    <w:p w14:paraId="5D743ABA" w14:textId="0131943D"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39" w:history="1">
        <w:r w:rsidR="00E41133" w:rsidRPr="000D4579">
          <w:rPr>
            <w:rStyle w:val="Hyperlink"/>
            <w:noProof/>
          </w:rPr>
          <w:t>3.4.2</w:t>
        </w:r>
        <w:r w:rsidR="00E41133">
          <w:rPr>
            <w:rFonts w:eastAsiaTheme="minorEastAsia" w:cstheme="minorBidi"/>
            <w:i w:val="0"/>
            <w:iCs w:val="0"/>
            <w:noProof/>
            <w:sz w:val="22"/>
            <w:szCs w:val="22"/>
            <w:lang w:eastAsia="en-GB" w:bidi="ar-SA"/>
          </w:rPr>
          <w:tab/>
        </w:r>
        <w:r w:rsidR="00E41133" w:rsidRPr="000D4579">
          <w:rPr>
            <w:rStyle w:val="Hyperlink"/>
            <w:noProof/>
          </w:rPr>
          <w:t>Toxicity studies of the enzyme</w:t>
        </w:r>
        <w:r w:rsidR="00E41133">
          <w:rPr>
            <w:noProof/>
            <w:webHidden/>
          </w:rPr>
          <w:tab/>
        </w:r>
        <w:r w:rsidR="00E41133">
          <w:rPr>
            <w:noProof/>
            <w:webHidden/>
          </w:rPr>
          <w:fldChar w:fldCharType="begin"/>
        </w:r>
        <w:r w:rsidR="00E41133">
          <w:rPr>
            <w:noProof/>
            <w:webHidden/>
          </w:rPr>
          <w:instrText xml:space="preserve"> PAGEREF _Toc4152939 \h </w:instrText>
        </w:r>
        <w:r w:rsidR="00E41133">
          <w:rPr>
            <w:noProof/>
            <w:webHidden/>
          </w:rPr>
        </w:r>
        <w:r w:rsidR="00E41133">
          <w:rPr>
            <w:noProof/>
            <w:webHidden/>
          </w:rPr>
          <w:fldChar w:fldCharType="separate"/>
        </w:r>
        <w:r w:rsidR="009F3503">
          <w:rPr>
            <w:noProof/>
            <w:webHidden/>
          </w:rPr>
          <w:t>10</w:t>
        </w:r>
        <w:r w:rsidR="00E41133">
          <w:rPr>
            <w:noProof/>
            <w:webHidden/>
          </w:rPr>
          <w:fldChar w:fldCharType="end"/>
        </w:r>
      </w:hyperlink>
    </w:p>
    <w:p w14:paraId="4EFDC723" w14:textId="26662B6F"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40" w:history="1">
        <w:r w:rsidR="00E41133" w:rsidRPr="000D4579">
          <w:rPr>
            <w:rStyle w:val="Hyperlink"/>
            <w:noProof/>
          </w:rPr>
          <w:t>3.4.3</w:t>
        </w:r>
        <w:r w:rsidR="00E41133">
          <w:rPr>
            <w:rFonts w:eastAsiaTheme="minorEastAsia" w:cstheme="minorBidi"/>
            <w:i w:val="0"/>
            <w:iCs w:val="0"/>
            <w:noProof/>
            <w:sz w:val="22"/>
            <w:szCs w:val="22"/>
            <w:lang w:eastAsia="en-GB" w:bidi="ar-SA"/>
          </w:rPr>
          <w:tab/>
        </w:r>
        <w:r w:rsidR="00E41133" w:rsidRPr="000D4579">
          <w:rPr>
            <w:rStyle w:val="Hyperlink"/>
            <w:noProof/>
          </w:rPr>
          <w:t>Genotoxicity</w:t>
        </w:r>
        <w:r w:rsidR="00E41133">
          <w:rPr>
            <w:noProof/>
            <w:webHidden/>
          </w:rPr>
          <w:tab/>
        </w:r>
        <w:r w:rsidR="00E41133">
          <w:rPr>
            <w:noProof/>
            <w:webHidden/>
          </w:rPr>
          <w:fldChar w:fldCharType="begin"/>
        </w:r>
        <w:r w:rsidR="00E41133">
          <w:rPr>
            <w:noProof/>
            <w:webHidden/>
          </w:rPr>
          <w:instrText xml:space="preserve"> PAGEREF _Toc4152940 \h </w:instrText>
        </w:r>
        <w:r w:rsidR="00E41133">
          <w:rPr>
            <w:noProof/>
            <w:webHidden/>
          </w:rPr>
        </w:r>
        <w:r w:rsidR="00E41133">
          <w:rPr>
            <w:noProof/>
            <w:webHidden/>
          </w:rPr>
          <w:fldChar w:fldCharType="separate"/>
        </w:r>
        <w:r w:rsidR="009F3503">
          <w:rPr>
            <w:noProof/>
            <w:webHidden/>
          </w:rPr>
          <w:t>11</w:t>
        </w:r>
        <w:r w:rsidR="00E41133">
          <w:rPr>
            <w:noProof/>
            <w:webHidden/>
          </w:rPr>
          <w:fldChar w:fldCharType="end"/>
        </w:r>
      </w:hyperlink>
    </w:p>
    <w:p w14:paraId="78CD742F" w14:textId="79D25DD9"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41" w:history="1">
        <w:r w:rsidR="00E41133" w:rsidRPr="000D4579">
          <w:rPr>
            <w:rStyle w:val="Hyperlink"/>
            <w:noProof/>
          </w:rPr>
          <w:t>3.4.4</w:t>
        </w:r>
        <w:r w:rsidR="00E41133">
          <w:rPr>
            <w:rFonts w:eastAsiaTheme="minorEastAsia" w:cstheme="minorBidi"/>
            <w:i w:val="0"/>
            <w:iCs w:val="0"/>
            <w:noProof/>
            <w:sz w:val="22"/>
            <w:szCs w:val="22"/>
            <w:lang w:eastAsia="en-GB" w:bidi="ar-SA"/>
          </w:rPr>
          <w:tab/>
        </w:r>
        <w:r w:rsidR="00E41133" w:rsidRPr="000D4579">
          <w:rPr>
            <w:rStyle w:val="Hyperlink"/>
            <w:noProof/>
          </w:rPr>
          <w:t>Bioinformatic analysis for potential toxicity</w:t>
        </w:r>
        <w:r w:rsidR="00E41133">
          <w:rPr>
            <w:noProof/>
            <w:webHidden/>
          </w:rPr>
          <w:tab/>
        </w:r>
        <w:r w:rsidR="00E41133">
          <w:rPr>
            <w:noProof/>
            <w:webHidden/>
          </w:rPr>
          <w:fldChar w:fldCharType="begin"/>
        </w:r>
        <w:r w:rsidR="00E41133">
          <w:rPr>
            <w:noProof/>
            <w:webHidden/>
          </w:rPr>
          <w:instrText xml:space="preserve"> PAGEREF _Toc4152941 \h </w:instrText>
        </w:r>
        <w:r w:rsidR="00E41133">
          <w:rPr>
            <w:noProof/>
            <w:webHidden/>
          </w:rPr>
        </w:r>
        <w:r w:rsidR="00E41133">
          <w:rPr>
            <w:noProof/>
            <w:webHidden/>
          </w:rPr>
          <w:fldChar w:fldCharType="separate"/>
        </w:r>
        <w:r w:rsidR="009F3503">
          <w:rPr>
            <w:noProof/>
            <w:webHidden/>
          </w:rPr>
          <w:t>12</w:t>
        </w:r>
        <w:r w:rsidR="00E41133">
          <w:rPr>
            <w:noProof/>
            <w:webHidden/>
          </w:rPr>
          <w:fldChar w:fldCharType="end"/>
        </w:r>
      </w:hyperlink>
    </w:p>
    <w:p w14:paraId="7CEF338B" w14:textId="1104A53B"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42" w:history="1">
        <w:r w:rsidR="00E41133" w:rsidRPr="000D4579">
          <w:rPr>
            <w:rStyle w:val="Hyperlink"/>
            <w:noProof/>
          </w:rPr>
          <w:t>3.4.5</w:t>
        </w:r>
        <w:r w:rsidR="00E41133">
          <w:rPr>
            <w:rFonts w:eastAsiaTheme="minorEastAsia" w:cstheme="minorBidi"/>
            <w:i w:val="0"/>
            <w:iCs w:val="0"/>
            <w:noProof/>
            <w:sz w:val="22"/>
            <w:szCs w:val="22"/>
            <w:lang w:eastAsia="en-GB" w:bidi="ar-SA"/>
          </w:rPr>
          <w:tab/>
        </w:r>
        <w:r w:rsidR="00E41133" w:rsidRPr="000D4579">
          <w:rPr>
            <w:rStyle w:val="Hyperlink"/>
            <w:noProof/>
          </w:rPr>
          <w:t>Potential for allergenicity</w:t>
        </w:r>
        <w:r w:rsidR="00E41133">
          <w:rPr>
            <w:noProof/>
            <w:webHidden/>
          </w:rPr>
          <w:tab/>
        </w:r>
        <w:r w:rsidR="00E41133">
          <w:rPr>
            <w:noProof/>
            <w:webHidden/>
          </w:rPr>
          <w:fldChar w:fldCharType="begin"/>
        </w:r>
        <w:r w:rsidR="00E41133">
          <w:rPr>
            <w:noProof/>
            <w:webHidden/>
          </w:rPr>
          <w:instrText xml:space="preserve"> PAGEREF _Toc4152942 \h </w:instrText>
        </w:r>
        <w:r w:rsidR="00E41133">
          <w:rPr>
            <w:noProof/>
            <w:webHidden/>
          </w:rPr>
        </w:r>
        <w:r w:rsidR="00E41133">
          <w:rPr>
            <w:noProof/>
            <w:webHidden/>
          </w:rPr>
          <w:fldChar w:fldCharType="separate"/>
        </w:r>
        <w:r w:rsidR="009F3503">
          <w:rPr>
            <w:noProof/>
            <w:webHidden/>
          </w:rPr>
          <w:t>13</w:t>
        </w:r>
        <w:r w:rsidR="00E41133">
          <w:rPr>
            <w:noProof/>
            <w:webHidden/>
          </w:rPr>
          <w:fldChar w:fldCharType="end"/>
        </w:r>
      </w:hyperlink>
    </w:p>
    <w:p w14:paraId="7F996117" w14:textId="0B627AE5" w:rsidR="00E41133" w:rsidRDefault="009A2B9A">
      <w:pPr>
        <w:pStyle w:val="TOC3"/>
        <w:tabs>
          <w:tab w:val="left" w:pos="1100"/>
          <w:tab w:val="right" w:leader="dot" w:pos="9060"/>
        </w:tabs>
        <w:rPr>
          <w:rFonts w:eastAsiaTheme="minorEastAsia" w:cstheme="minorBidi"/>
          <w:i w:val="0"/>
          <w:iCs w:val="0"/>
          <w:noProof/>
          <w:sz w:val="22"/>
          <w:szCs w:val="22"/>
          <w:lang w:eastAsia="en-GB" w:bidi="ar-SA"/>
        </w:rPr>
      </w:pPr>
      <w:hyperlink w:anchor="_Toc4152943" w:history="1">
        <w:r w:rsidR="00E41133" w:rsidRPr="000D4579">
          <w:rPr>
            <w:rStyle w:val="Hyperlink"/>
            <w:noProof/>
          </w:rPr>
          <w:t>3.4.6</w:t>
        </w:r>
        <w:r w:rsidR="00E41133">
          <w:rPr>
            <w:rFonts w:eastAsiaTheme="minorEastAsia" w:cstheme="minorBidi"/>
            <w:i w:val="0"/>
            <w:iCs w:val="0"/>
            <w:noProof/>
            <w:sz w:val="22"/>
            <w:szCs w:val="22"/>
            <w:lang w:eastAsia="en-GB" w:bidi="ar-SA"/>
          </w:rPr>
          <w:tab/>
        </w:r>
        <w:r w:rsidR="00E41133" w:rsidRPr="000D4579">
          <w:rPr>
            <w:rStyle w:val="Hyperlink"/>
            <w:noProof/>
          </w:rPr>
          <w:t>Approvals by other regulatory agencies</w:t>
        </w:r>
        <w:r w:rsidR="00E41133">
          <w:rPr>
            <w:noProof/>
            <w:webHidden/>
          </w:rPr>
          <w:tab/>
        </w:r>
        <w:r w:rsidR="00E41133">
          <w:rPr>
            <w:noProof/>
            <w:webHidden/>
          </w:rPr>
          <w:fldChar w:fldCharType="begin"/>
        </w:r>
        <w:r w:rsidR="00E41133">
          <w:rPr>
            <w:noProof/>
            <w:webHidden/>
          </w:rPr>
          <w:instrText xml:space="preserve"> PAGEREF _Toc4152943 \h </w:instrText>
        </w:r>
        <w:r w:rsidR="00E41133">
          <w:rPr>
            <w:noProof/>
            <w:webHidden/>
          </w:rPr>
        </w:r>
        <w:r w:rsidR="00E41133">
          <w:rPr>
            <w:noProof/>
            <w:webHidden/>
          </w:rPr>
          <w:fldChar w:fldCharType="separate"/>
        </w:r>
        <w:r w:rsidR="009F3503">
          <w:rPr>
            <w:noProof/>
            <w:webHidden/>
          </w:rPr>
          <w:t>13</w:t>
        </w:r>
        <w:r w:rsidR="00E41133">
          <w:rPr>
            <w:noProof/>
            <w:webHidden/>
          </w:rPr>
          <w:fldChar w:fldCharType="end"/>
        </w:r>
      </w:hyperlink>
    </w:p>
    <w:p w14:paraId="3A2EAA77" w14:textId="223658C6" w:rsidR="00E41133" w:rsidRDefault="009A2B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52944" w:history="1">
        <w:r w:rsidR="00E41133" w:rsidRPr="000D4579">
          <w:rPr>
            <w:rStyle w:val="Hyperlink"/>
            <w:noProof/>
          </w:rPr>
          <w:t xml:space="preserve">4 </w:t>
        </w:r>
        <w:r w:rsidR="00E41133">
          <w:rPr>
            <w:rFonts w:eastAsiaTheme="minorEastAsia" w:cstheme="minorBidi"/>
            <w:b w:val="0"/>
            <w:bCs w:val="0"/>
            <w:caps w:val="0"/>
            <w:noProof/>
            <w:sz w:val="22"/>
            <w:szCs w:val="22"/>
            <w:lang w:eastAsia="en-GB" w:bidi="ar-SA"/>
          </w:rPr>
          <w:tab/>
        </w:r>
        <w:r w:rsidR="00E41133" w:rsidRPr="000D4579">
          <w:rPr>
            <w:rStyle w:val="Hyperlink"/>
            <w:noProof/>
          </w:rPr>
          <w:t>Conclusions</w:t>
        </w:r>
        <w:r w:rsidR="00E41133">
          <w:rPr>
            <w:noProof/>
            <w:webHidden/>
          </w:rPr>
          <w:tab/>
        </w:r>
        <w:r w:rsidR="00E41133">
          <w:rPr>
            <w:noProof/>
            <w:webHidden/>
          </w:rPr>
          <w:fldChar w:fldCharType="begin"/>
        </w:r>
        <w:r w:rsidR="00E41133">
          <w:rPr>
            <w:noProof/>
            <w:webHidden/>
          </w:rPr>
          <w:instrText xml:space="preserve"> PAGEREF _Toc4152944 \h </w:instrText>
        </w:r>
        <w:r w:rsidR="00E41133">
          <w:rPr>
            <w:noProof/>
            <w:webHidden/>
          </w:rPr>
        </w:r>
        <w:r w:rsidR="00E41133">
          <w:rPr>
            <w:noProof/>
            <w:webHidden/>
          </w:rPr>
          <w:fldChar w:fldCharType="separate"/>
        </w:r>
        <w:r w:rsidR="009F3503">
          <w:rPr>
            <w:noProof/>
            <w:webHidden/>
          </w:rPr>
          <w:t>13</w:t>
        </w:r>
        <w:r w:rsidR="00E41133">
          <w:rPr>
            <w:noProof/>
            <w:webHidden/>
          </w:rPr>
          <w:fldChar w:fldCharType="end"/>
        </w:r>
      </w:hyperlink>
    </w:p>
    <w:p w14:paraId="2B4E5B7E" w14:textId="6C3A4908" w:rsidR="00E41133" w:rsidRDefault="009A2B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52945" w:history="1">
        <w:r w:rsidR="00E41133" w:rsidRPr="000D4579">
          <w:rPr>
            <w:rStyle w:val="Hyperlink"/>
            <w:noProof/>
          </w:rPr>
          <w:t xml:space="preserve">5 </w:t>
        </w:r>
        <w:r w:rsidR="00E41133">
          <w:rPr>
            <w:rFonts w:eastAsiaTheme="minorEastAsia" w:cstheme="minorBidi"/>
            <w:b w:val="0"/>
            <w:bCs w:val="0"/>
            <w:caps w:val="0"/>
            <w:noProof/>
            <w:sz w:val="22"/>
            <w:szCs w:val="22"/>
            <w:lang w:eastAsia="en-GB" w:bidi="ar-SA"/>
          </w:rPr>
          <w:tab/>
        </w:r>
        <w:r w:rsidR="00E41133" w:rsidRPr="000D4579">
          <w:rPr>
            <w:rStyle w:val="Hyperlink"/>
            <w:noProof/>
          </w:rPr>
          <w:t>References</w:t>
        </w:r>
        <w:r w:rsidR="00E41133">
          <w:rPr>
            <w:noProof/>
            <w:webHidden/>
          </w:rPr>
          <w:tab/>
        </w:r>
        <w:r w:rsidR="00E41133">
          <w:rPr>
            <w:noProof/>
            <w:webHidden/>
          </w:rPr>
          <w:fldChar w:fldCharType="begin"/>
        </w:r>
        <w:r w:rsidR="00E41133">
          <w:rPr>
            <w:noProof/>
            <w:webHidden/>
          </w:rPr>
          <w:instrText xml:space="preserve"> PAGEREF _Toc4152945 \h </w:instrText>
        </w:r>
        <w:r w:rsidR="00E41133">
          <w:rPr>
            <w:noProof/>
            <w:webHidden/>
          </w:rPr>
        </w:r>
        <w:r w:rsidR="00E41133">
          <w:rPr>
            <w:noProof/>
            <w:webHidden/>
          </w:rPr>
          <w:fldChar w:fldCharType="separate"/>
        </w:r>
        <w:r w:rsidR="009F3503">
          <w:rPr>
            <w:noProof/>
            <w:webHidden/>
          </w:rPr>
          <w:t>14</w:t>
        </w:r>
        <w:r w:rsidR="00E41133">
          <w:rPr>
            <w:noProof/>
            <w:webHidden/>
          </w:rPr>
          <w:fldChar w:fldCharType="end"/>
        </w:r>
      </w:hyperlink>
    </w:p>
    <w:p w14:paraId="61A5A49E" w14:textId="7DE8296A"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4" w:name="_Toc501699816"/>
      <w:bookmarkStart w:id="5" w:name="_Toc4152920"/>
      <w:r>
        <w:lastRenderedPageBreak/>
        <w:t xml:space="preserve">1 </w:t>
      </w:r>
      <w:r w:rsidR="00D410BF">
        <w:tab/>
      </w:r>
      <w:r>
        <w:t>Introduction</w:t>
      </w:r>
      <w:bookmarkEnd w:id="4"/>
      <w:bookmarkEnd w:id="5"/>
    </w:p>
    <w:p w14:paraId="346A0783" w14:textId="07EED40B" w:rsidR="00D410BF" w:rsidRPr="004E3D17" w:rsidRDefault="00C8098F" w:rsidP="00D410BF">
      <w:bookmarkStart w:id="6" w:name="_Toc501699817"/>
      <w:bookmarkEnd w:id="6"/>
      <w:r w:rsidRPr="004E3D17">
        <w:t>Triacylglycerol lipase</w:t>
      </w:r>
      <w:r w:rsidR="00D410BF" w:rsidRPr="004E3D17">
        <w:t xml:space="preserve"> (EC 3.</w:t>
      </w:r>
      <w:r w:rsidRPr="004E3D17">
        <w:t>1</w:t>
      </w:r>
      <w:r w:rsidR="00D410BF" w:rsidRPr="004E3D17">
        <w:t xml:space="preserve">.1.3) is an enzyme which catalyses the hydrolysis of </w:t>
      </w:r>
      <w:r w:rsidRPr="004E3D17">
        <w:t>ester bonds primarily in positions 1 and 3 of fatty acids in triglycerides</w:t>
      </w:r>
      <w:r w:rsidR="00311EAC">
        <w:t>,</w:t>
      </w:r>
      <w:r w:rsidRPr="004E3D17">
        <w:t xml:space="preserve"> with the subsequent release of fatty acids and glycerol. The enzyme is p</w:t>
      </w:r>
      <w:r w:rsidR="00D410BF" w:rsidRPr="004E3D17">
        <w:t xml:space="preserve">roduced through </w:t>
      </w:r>
      <w:r w:rsidRPr="004E3D17">
        <w:t xml:space="preserve">a microbial </w:t>
      </w:r>
      <w:r w:rsidR="00D410BF" w:rsidRPr="004E3D17">
        <w:t xml:space="preserve">fermentation, </w:t>
      </w:r>
      <w:r w:rsidRPr="004E3D17">
        <w:t>using a</w:t>
      </w:r>
      <w:r w:rsidR="00D410BF" w:rsidRPr="004E3D17">
        <w:t xml:space="preserve"> genetically modified </w:t>
      </w:r>
      <w:r w:rsidR="00765562">
        <w:t xml:space="preserve">(GM) </w:t>
      </w:r>
      <w:r w:rsidR="00D410BF" w:rsidRPr="004E3D17">
        <w:t xml:space="preserve">strain of </w:t>
      </w:r>
      <w:r w:rsidRPr="004E3D17">
        <w:rPr>
          <w:i/>
        </w:rPr>
        <w:t>Trichoderma reesei</w:t>
      </w:r>
      <w:r w:rsidR="00D410BF" w:rsidRPr="004E3D17">
        <w:t xml:space="preserve">. </w:t>
      </w:r>
      <w:r w:rsidRPr="004E3D17">
        <w:t>Triacylglycerol lipase</w:t>
      </w:r>
      <w:r w:rsidR="00D410BF" w:rsidRPr="004E3D17">
        <w:t xml:space="preserve"> </w:t>
      </w:r>
      <w:r w:rsidR="004E3D17" w:rsidRPr="004E3D17">
        <w:t xml:space="preserve">is intended for use </w:t>
      </w:r>
      <w:r w:rsidR="002B0241" w:rsidRPr="00302A5B">
        <w:rPr>
          <w:szCs w:val="22"/>
        </w:rPr>
        <w:t xml:space="preserve">as a processing aid </w:t>
      </w:r>
      <w:r w:rsidR="00311EAC">
        <w:rPr>
          <w:szCs w:val="22"/>
        </w:rPr>
        <w:t xml:space="preserve">in </w:t>
      </w:r>
      <w:r w:rsidR="002B0241" w:rsidRPr="00302A5B">
        <w:rPr>
          <w:szCs w:val="22"/>
        </w:rPr>
        <w:t xml:space="preserve">the production of </w:t>
      </w:r>
      <w:r w:rsidR="002B0241" w:rsidRPr="00D957A0">
        <w:rPr>
          <w:szCs w:val="22"/>
        </w:rPr>
        <w:t>bakery products</w:t>
      </w:r>
      <w:r w:rsidR="00D64840">
        <w:rPr>
          <w:szCs w:val="22"/>
        </w:rPr>
        <w:t>,</w:t>
      </w:r>
      <w:r w:rsidR="002B0241" w:rsidRPr="00D957A0">
        <w:rPr>
          <w:szCs w:val="22"/>
        </w:rPr>
        <w:t xml:space="preserve"> and cereal-based </w:t>
      </w:r>
      <w:r w:rsidR="009D38AA">
        <w:rPr>
          <w:szCs w:val="22"/>
        </w:rPr>
        <w:t>beverages and foods</w:t>
      </w:r>
      <w:r w:rsidR="002B0241" w:rsidRPr="00D957A0">
        <w:rPr>
          <w:szCs w:val="22"/>
        </w:rPr>
        <w:t>.</w:t>
      </w:r>
      <w:r w:rsidR="004E3D17" w:rsidRPr="004E3D17">
        <w:t xml:space="preserve"> In the baking industries the enzyme performs its technological purpose during dough and batter handling</w:t>
      </w:r>
      <w:r w:rsidR="00311EAC">
        <w:t>,</w:t>
      </w:r>
      <w:r w:rsidR="004E3D17" w:rsidRPr="004E3D17">
        <w:t xml:space="preserve"> </w:t>
      </w:r>
      <w:r w:rsidR="00311EAC">
        <w:t xml:space="preserve">improving </w:t>
      </w:r>
      <w:r w:rsidR="004E3D17" w:rsidRPr="004E3D17">
        <w:t xml:space="preserve">dough stability and dough handling properties. In the </w:t>
      </w:r>
      <w:r w:rsidR="002B0241">
        <w:t xml:space="preserve">production of cereal-based </w:t>
      </w:r>
      <w:r w:rsidR="009D38AA">
        <w:t>beverages and foods</w:t>
      </w:r>
      <w:r w:rsidR="00311EAC">
        <w:t>,</w:t>
      </w:r>
      <w:r w:rsidR="004E3D17" w:rsidRPr="004E3D17">
        <w:t xml:space="preserve"> the enzyme performs it</w:t>
      </w:r>
      <w:r w:rsidR="00A130C2">
        <w:t>s</w:t>
      </w:r>
      <w:r w:rsidR="004E3D17" w:rsidRPr="004E3D17">
        <w:t xml:space="preserve"> technological purpose during the mashing steps by </w:t>
      </w:r>
      <w:r w:rsidR="004E3D17" w:rsidRPr="004C7E3F">
        <w:t xml:space="preserve">removing </w:t>
      </w:r>
      <w:r w:rsidR="00B20BF0" w:rsidRPr="004C7E3F">
        <w:t>triglycerides (lipids)</w:t>
      </w:r>
      <w:r w:rsidR="00311EAC">
        <w:t>,</w:t>
      </w:r>
      <w:r w:rsidR="004E3D17" w:rsidRPr="004E3D17">
        <w:t xml:space="preserve"> which </w:t>
      </w:r>
      <w:r w:rsidR="00311EAC">
        <w:t xml:space="preserve">would </w:t>
      </w:r>
      <w:r w:rsidR="004E3D17" w:rsidRPr="004E3D17">
        <w:t>otherwise cause problems in mash separation.</w:t>
      </w:r>
      <w:r w:rsidR="002B0241">
        <w:t xml:space="preserve"> </w:t>
      </w:r>
      <w:r w:rsidR="00281856">
        <w:t xml:space="preserve">The liquid extract (wort) can then be </w:t>
      </w:r>
      <w:r w:rsidR="00311EAC">
        <w:t xml:space="preserve">further </w:t>
      </w:r>
      <w:r w:rsidR="00281856">
        <w:t>processed to produce a variety of solid foods and liquid (alcoholic and non-alcoholic) beverages.</w:t>
      </w:r>
      <w:r w:rsidR="00D410BF" w:rsidRPr="004E3D17">
        <w:t xml:space="preserve"> </w:t>
      </w:r>
    </w:p>
    <w:p w14:paraId="63BE092B" w14:textId="14C70514" w:rsidR="001E6A7B" w:rsidRDefault="00340EB7" w:rsidP="00BD59CB">
      <w:pPr>
        <w:pStyle w:val="Heading2"/>
      </w:pPr>
      <w:bookmarkStart w:id="7" w:name="_Toc4152921"/>
      <w:r>
        <w:t>1.1</w:t>
      </w:r>
      <w:r>
        <w:tab/>
      </w:r>
      <w:r w:rsidR="001E6A7B" w:rsidRPr="00D410BF">
        <w:t>Objectives</w:t>
      </w:r>
      <w:r w:rsidR="001E6A7B">
        <w:t xml:space="preserve"> of the assessment</w:t>
      </w:r>
      <w:bookmarkEnd w:id="7"/>
    </w:p>
    <w:p w14:paraId="739A9693" w14:textId="3E9F2808" w:rsidR="00D410BF" w:rsidRPr="004E3D17" w:rsidRDefault="00D410BF" w:rsidP="00D410BF">
      <w:r w:rsidRPr="004E3D17">
        <w:t>The objectives of this technical</w:t>
      </w:r>
      <w:r w:rsidR="00800F5D">
        <w:t xml:space="preserve"> and </w:t>
      </w:r>
      <w:r w:rsidRPr="004E3D17">
        <w:t>safety</w:t>
      </w:r>
      <w:r w:rsidR="00800F5D">
        <w:t xml:space="preserve"> </w:t>
      </w:r>
      <w:r w:rsidRPr="004E3D17">
        <w:t xml:space="preserve">assessment for </w:t>
      </w:r>
      <w:r w:rsidR="00BE1FE0" w:rsidRPr="004E3D17">
        <w:t>triacylglycerol lipase</w:t>
      </w:r>
      <w:r w:rsidRPr="004E3D17">
        <w:t xml:space="preserve"> were to:</w:t>
      </w:r>
    </w:p>
    <w:p w14:paraId="0C8F7041" w14:textId="77777777" w:rsidR="00D410BF" w:rsidRPr="004E3D17" w:rsidRDefault="00D410BF" w:rsidP="00D410BF"/>
    <w:p w14:paraId="75D221FC" w14:textId="77777777" w:rsidR="00D410BF" w:rsidRPr="004E3D17" w:rsidRDefault="00D410BF" w:rsidP="00D410BF">
      <w:pPr>
        <w:pStyle w:val="FSBullet1"/>
      </w:pPr>
      <w:r w:rsidRPr="004E3D17">
        <w:t>determine whether the proposed purpose is clearly stated and that the enzyme achieves its technological function in the quantity and form proposed to be used as a food processing aid</w:t>
      </w:r>
    </w:p>
    <w:p w14:paraId="196EBF7A" w14:textId="77777777" w:rsidR="00D410BF" w:rsidRPr="004E3D17" w:rsidRDefault="00D410BF" w:rsidP="00D410BF">
      <w:pPr>
        <w:pStyle w:val="ListParagraph"/>
        <w:ind w:left="930"/>
      </w:pPr>
    </w:p>
    <w:p w14:paraId="48B479C5" w14:textId="08001835" w:rsidR="00D410BF" w:rsidRDefault="00D410BF" w:rsidP="00D410BF">
      <w:pPr>
        <w:pStyle w:val="FSBullet1"/>
      </w:pPr>
      <w:r w:rsidRPr="004E3D17">
        <w:t xml:space="preserve">evaluate any potential public health and safety issues that may arise from the use of this enzyme, produced by a </w:t>
      </w:r>
      <w:r w:rsidR="002F54D8">
        <w:t>GM</w:t>
      </w:r>
      <w:r w:rsidRPr="004E3D17">
        <w:t xml:space="preserve"> organism as a processing aid. Specifically by considering the:</w:t>
      </w:r>
    </w:p>
    <w:p w14:paraId="06AD6AE5" w14:textId="77777777" w:rsidR="002F54D8" w:rsidRPr="002F54D8" w:rsidRDefault="002F54D8" w:rsidP="002F54D8">
      <w:pPr>
        <w:rPr>
          <w:lang w:bidi="ar-SA"/>
        </w:rPr>
      </w:pPr>
    </w:p>
    <w:p w14:paraId="5EA87FAF" w14:textId="77777777" w:rsidR="00D410BF" w:rsidRPr="004E3D17" w:rsidRDefault="00D410BF" w:rsidP="00D410BF">
      <w:pPr>
        <w:pStyle w:val="FSBullet2"/>
      </w:pPr>
      <w:r w:rsidRPr="004E3D17">
        <w:t>history of use of the host and gene donor organisms</w:t>
      </w:r>
    </w:p>
    <w:p w14:paraId="01373E96" w14:textId="77777777" w:rsidR="00D410BF" w:rsidRPr="004E3D17" w:rsidRDefault="00D410BF" w:rsidP="00D410BF">
      <w:pPr>
        <w:pStyle w:val="FSBullet2"/>
      </w:pPr>
      <w:r w:rsidRPr="004E3D17">
        <w:t>characterisation of the genetic modification(s), and</w:t>
      </w:r>
    </w:p>
    <w:p w14:paraId="3F68A415" w14:textId="62DAB749" w:rsidR="00D410BF" w:rsidRPr="004E3D17" w:rsidRDefault="00D410BF" w:rsidP="00D410BF">
      <w:pPr>
        <w:pStyle w:val="FSBullet2"/>
      </w:pPr>
      <w:r w:rsidRPr="004E3D17">
        <w:t>safety of the enzyme.</w:t>
      </w:r>
    </w:p>
    <w:p w14:paraId="5767146C" w14:textId="1C2F71F6" w:rsidR="001E6A7B" w:rsidRDefault="001E6A7B" w:rsidP="000A14E9">
      <w:pPr>
        <w:pStyle w:val="Heading1"/>
        <w:ind w:left="567" w:hanging="567"/>
      </w:pPr>
      <w:bookmarkStart w:id="8" w:name="_Toc4152922"/>
      <w:r>
        <w:t>2</w:t>
      </w:r>
      <w:r w:rsidR="000A14E9">
        <w:tab/>
      </w:r>
      <w:r>
        <w:t>Food technology assessment</w:t>
      </w:r>
      <w:bookmarkEnd w:id="8"/>
    </w:p>
    <w:p w14:paraId="28876474" w14:textId="77777777" w:rsidR="001E6A7B" w:rsidRDefault="001E6A7B" w:rsidP="000B5751">
      <w:pPr>
        <w:pStyle w:val="Heading2"/>
      </w:pPr>
      <w:bookmarkStart w:id="9" w:name="_Toc472327044"/>
      <w:bookmarkStart w:id="10" w:name="_Toc501699819"/>
      <w:bookmarkStart w:id="11" w:name="_Toc4152923"/>
      <w:r>
        <w:t>2.1</w:t>
      </w:r>
      <w:r>
        <w:tab/>
        <w:t>Characterisation of the enzyme</w:t>
      </w:r>
      <w:bookmarkEnd w:id="9"/>
      <w:bookmarkEnd w:id="10"/>
      <w:bookmarkEnd w:id="11"/>
    </w:p>
    <w:p w14:paraId="6D257B39" w14:textId="524898A7" w:rsidR="001E6A7B" w:rsidRDefault="001E6A7B" w:rsidP="00BD59CB">
      <w:pPr>
        <w:pStyle w:val="Heading3"/>
      </w:pPr>
      <w:bookmarkStart w:id="12" w:name="_Toc4152924"/>
      <w:r>
        <w:t>2.1.1</w:t>
      </w:r>
      <w:r>
        <w:tab/>
        <w:t>Identity of the enzyme</w:t>
      </w:r>
      <w:bookmarkEnd w:id="12"/>
    </w:p>
    <w:p w14:paraId="52D3138A" w14:textId="6368FA0B" w:rsidR="000C4E5F" w:rsidRPr="000C4E5F" w:rsidRDefault="000C4E5F" w:rsidP="000C4E5F">
      <w:r w:rsidRPr="000C4E5F">
        <w:t xml:space="preserve">The source microorganism of the enzyme is </w:t>
      </w:r>
      <w:r w:rsidR="00BE1FE0">
        <w:rPr>
          <w:i/>
        </w:rPr>
        <w:t>Trichoderma reesei</w:t>
      </w:r>
      <w:r w:rsidRPr="000C4E5F">
        <w:t>. More information on the source microorganism is provided in section 3.</w:t>
      </w:r>
    </w:p>
    <w:p w14:paraId="06A17066" w14:textId="77777777" w:rsidR="000C4E5F" w:rsidRPr="000C4E5F" w:rsidRDefault="000C4E5F" w:rsidP="000C4E5F"/>
    <w:p w14:paraId="2A1E64A6" w14:textId="49C9BF2A" w:rsidR="0061383B" w:rsidRPr="006014F1" w:rsidRDefault="0061383B" w:rsidP="0061383B">
      <w:r w:rsidRPr="006014F1">
        <w:t xml:space="preserve">Information concerning the identity of the enzyme </w:t>
      </w:r>
      <w:r>
        <w:t>from the</w:t>
      </w:r>
      <w:r w:rsidRPr="006014F1">
        <w:t xml:space="preserve"> </w:t>
      </w:r>
      <w:r>
        <w:t>a</w:t>
      </w:r>
      <w:r w:rsidRPr="006014F1">
        <w:t>pplication has been verified using an appropriate enzyme nomenclature reference (IUBMB</w:t>
      </w:r>
      <w:r>
        <w:t xml:space="preserve"> </w:t>
      </w:r>
      <w:r w:rsidRPr="00830498">
        <w:t>201</w:t>
      </w:r>
      <w:r>
        <w:t>8</w:t>
      </w:r>
      <w:r w:rsidRPr="006014F1">
        <w:t xml:space="preserve">). </w:t>
      </w:r>
    </w:p>
    <w:p w14:paraId="43A19859" w14:textId="77777777" w:rsidR="0061383B" w:rsidRPr="006E4128" w:rsidRDefault="0061383B" w:rsidP="0061383B">
      <w:pPr>
        <w:rPr>
          <w:lang w:eastAsia="en-AU" w:bidi="ar-SA"/>
        </w:rPr>
      </w:pPr>
    </w:p>
    <w:tbl>
      <w:tblPr>
        <w:tblStyle w:val="TableGrid"/>
        <w:tblW w:w="101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857"/>
      </w:tblGrid>
      <w:tr w:rsidR="0061383B" w:rsidRPr="00866B0C" w14:paraId="5AAFED58" w14:textId="77777777" w:rsidTr="00417CF0">
        <w:tc>
          <w:tcPr>
            <w:tcW w:w="3266" w:type="dxa"/>
          </w:tcPr>
          <w:p w14:paraId="295E5FA2" w14:textId="77777777" w:rsidR="0061383B" w:rsidRPr="00866B0C" w:rsidRDefault="0061383B" w:rsidP="00417CF0">
            <w:pPr>
              <w:rPr>
                <w:bCs/>
                <w:i/>
                <w:iCs/>
                <w:lang w:eastAsia="en-AU"/>
              </w:rPr>
            </w:pPr>
            <w:r>
              <w:rPr>
                <w:bCs/>
                <w:i/>
                <w:iCs/>
                <w:lang w:eastAsia="en-AU"/>
              </w:rPr>
              <w:t>Systematic name</w:t>
            </w:r>
            <w:r w:rsidRPr="00866B0C">
              <w:rPr>
                <w:bCs/>
                <w:i/>
                <w:iCs/>
                <w:lang w:eastAsia="en-AU"/>
              </w:rPr>
              <w:t>:</w:t>
            </w:r>
          </w:p>
        </w:tc>
        <w:tc>
          <w:tcPr>
            <w:tcW w:w="6857" w:type="dxa"/>
          </w:tcPr>
          <w:p w14:paraId="24878067" w14:textId="77777777" w:rsidR="0061383B" w:rsidRDefault="0061383B" w:rsidP="00417CF0">
            <w:pPr>
              <w:rPr>
                <w:bCs/>
                <w:iCs/>
                <w:lang w:eastAsia="en-AU"/>
              </w:rPr>
            </w:pPr>
            <w:r w:rsidRPr="00866B0C">
              <w:rPr>
                <w:bCs/>
                <w:iCs/>
                <w:lang w:eastAsia="en-AU"/>
              </w:rPr>
              <w:t>Triacylglycerol acylhydrolase</w:t>
            </w:r>
          </w:p>
          <w:p w14:paraId="7D55ABE2" w14:textId="77777777" w:rsidR="0061383B" w:rsidRPr="00866B0C" w:rsidRDefault="0061383B" w:rsidP="00417CF0">
            <w:pPr>
              <w:rPr>
                <w:bCs/>
                <w:iCs/>
                <w:lang w:eastAsia="en-AU"/>
              </w:rPr>
            </w:pPr>
          </w:p>
        </w:tc>
      </w:tr>
      <w:tr w:rsidR="0061383B" w:rsidRPr="00866B0C" w14:paraId="1C71EC31" w14:textId="77777777" w:rsidTr="00417CF0">
        <w:tc>
          <w:tcPr>
            <w:tcW w:w="3266" w:type="dxa"/>
          </w:tcPr>
          <w:p w14:paraId="2A3126B5" w14:textId="77777777" w:rsidR="0061383B" w:rsidRDefault="0061383B" w:rsidP="00417CF0">
            <w:pPr>
              <w:rPr>
                <w:bCs/>
                <w:i/>
                <w:iCs/>
                <w:lang w:eastAsia="en-AU"/>
              </w:rPr>
            </w:pPr>
            <w:r>
              <w:rPr>
                <w:bCs/>
                <w:i/>
                <w:iCs/>
                <w:lang w:eastAsia="en-AU"/>
              </w:rPr>
              <w:t>Accepted IUBMB</w:t>
            </w:r>
            <w:r>
              <w:rPr>
                <w:rStyle w:val="FootnoteReference"/>
                <w:bCs/>
                <w:i/>
                <w:iCs/>
                <w:lang w:eastAsia="en-AU"/>
              </w:rPr>
              <w:footnoteReference w:id="3"/>
            </w:r>
            <w:r w:rsidRPr="00866B0C">
              <w:rPr>
                <w:bCs/>
                <w:i/>
                <w:iCs/>
                <w:lang w:eastAsia="en-AU"/>
              </w:rPr>
              <w:t xml:space="preserve"> name</w:t>
            </w:r>
            <w:r>
              <w:rPr>
                <w:bCs/>
                <w:i/>
                <w:iCs/>
                <w:lang w:eastAsia="en-AU"/>
              </w:rPr>
              <w:t>:</w:t>
            </w:r>
          </w:p>
        </w:tc>
        <w:tc>
          <w:tcPr>
            <w:tcW w:w="6857" w:type="dxa"/>
          </w:tcPr>
          <w:p w14:paraId="3AA6AA26" w14:textId="77777777" w:rsidR="0061383B" w:rsidRDefault="0061383B" w:rsidP="00417CF0">
            <w:pPr>
              <w:rPr>
                <w:bCs/>
                <w:iCs/>
                <w:lang w:eastAsia="en-AU"/>
              </w:rPr>
            </w:pPr>
            <w:r w:rsidRPr="00866B0C">
              <w:rPr>
                <w:bCs/>
                <w:iCs/>
                <w:lang w:eastAsia="en-AU"/>
              </w:rPr>
              <w:t>Triacylglycerol lipase</w:t>
            </w:r>
          </w:p>
          <w:p w14:paraId="26DA36B8" w14:textId="77777777" w:rsidR="0061383B" w:rsidRPr="00866B0C" w:rsidRDefault="0061383B" w:rsidP="00417CF0">
            <w:pPr>
              <w:rPr>
                <w:bCs/>
                <w:iCs/>
                <w:lang w:eastAsia="en-AU"/>
              </w:rPr>
            </w:pPr>
          </w:p>
        </w:tc>
      </w:tr>
      <w:tr w:rsidR="0061383B" w:rsidRPr="00866B0C" w14:paraId="47650976" w14:textId="77777777" w:rsidTr="00417CF0">
        <w:trPr>
          <w:trHeight w:val="604"/>
        </w:trPr>
        <w:tc>
          <w:tcPr>
            <w:tcW w:w="3266" w:type="dxa"/>
          </w:tcPr>
          <w:p w14:paraId="597EC1E1" w14:textId="77777777" w:rsidR="0061383B" w:rsidRPr="00866B0C" w:rsidRDefault="0061383B" w:rsidP="00417CF0">
            <w:pPr>
              <w:rPr>
                <w:bCs/>
                <w:i/>
                <w:iCs/>
                <w:lang w:eastAsia="en-AU"/>
              </w:rPr>
            </w:pPr>
            <w:r w:rsidRPr="00866B0C">
              <w:rPr>
                <w:bCs/>
                <w:i/>
                <w:iCs/>
                <w:lang w:eastAsia="en-AU"/>
              </w:rPr>
              <w:t>Common names:</w:t>
            </w:r>
          </w:p>
        </w:tc>
        <w:tc>
          <w:tcPr>
            <w:tcW w:w="6857" w:type="dxa"/>
          </w:tcPr>
          <w:p w14:paraId="6EE0C9C6" w14:textId="77777777" w:rsidR="0061383B" w:rsidRPr="00F80448" w:rsidRDefault="0061383B" w:rsidP="00417CF0">
            <w:pPr>
              <w:rPr>
                <w:bCs/>
                <w:iCs/>
                <w:sz w:val="20"/>
                <w:szCs w:val="20"/>
                <w:lang w:eastAsia="en-AU"/>
              </w:rPr>
            </w:pPr>
            <w:r>
              <w:rPr>
                <w:bCs/>
                <w:iCs/>
                <w:sz w:val="20"/>
                <w:szCs w:val="20"/>
                <w:lang w:eastAsia="en-AU"/>
              </w:rPr>
              <w:t>L</w:t>
            </w:r>
            <w:r w:rsidRPr="002F041E">
              <w:rPr>
                <w:bCs/>
                <w:iCs/>
                <w:sz w:val="20"/>
                <w:szCs w:val="20"/>
                <w:lang w:eastAsia="en-AU"/>
              </w:rPr>
              <w:t>ipase; triglyceride lipase; tributyrase; butyr</w:t>
            </w:r>
            <w:r>
              <w:rPr>
                <w:bCs/>
                <w:iCs/>
                <w:sz w:val="20"/>
                <w:szCs w:val="20"/>
                <w:lang w:eastAsia="en-AU"/>
              </w:rPr>
              <w:t>inase; glycerol ester hydrolase;</w:t>
            </w:r>
            <w:r w:rsidRPr="002F041E">
              <w:rPr>
                <w:bCs/>
                <w:iCs/>
                <w:sz w:val="20"/>
                <w:szCs w:val="20"/>
                <w:lang w:eastAsia="en-AU"/>
              </w:rPr>
              <w:t xml:space="preserve"> tributyrinase; Tween hydrolase; steapsin; triacetinase; tributyrin esterase; Tweenase; amno N-AP; Takedo 1969-4-9; Meito MY 30; Tweenesterase; GA 56; capalase L; triglyceride hydrolase; triolein hydrolase; tween-hydrolyzing esterase; amano CE; cacordase; triglyceridase; triacylglycerol </w:t>
            </w:r>
            <w:r w:rsidRPr="002F041E">
              <w:rPr>
                <w:bCs/>
                <w:iCs/>
                <w:sz w:val="20"/>
                <w:szCs w:val="20"/>
                <w:lang w:eastAsia="en-AU"/>
              </w:rPr>
              <w:lastRenderedPageBreak/>
              <w:t xml:space="preserve">ester hydrolase; amano P; amano AP; PPL; glycerol-ester hydrolase; GEH; meito Sangyo OF lipase; hepatic lipase; lipazin; post-heparin plasma protamine-resistant lipase; salt-resistant post-heparin lipase; heparin releasable </w:t>
            </w:r>
            <w:r w:rsidRPr="002F041E">
              <w:rPr>
                <w:sz w:val="20"/>
                <w:szCs w:val="20"/>
              </w:rPr>
              <w:t>hepatic lipase; amano CES; amano B; tributyrase; triglyceride lipase; liver lipase; hepatic monoacylglycerol acyltransferase</w:t>
            </w:r>
          </w:p>
          <w:p w14:paraId="40A9A67E" w14:textId="77777777" w:rsidR="0061383B" w:rsidRPr="00866B0C" w:rsidRDefault="0061383B" w:rsidP="00417CF0">
            <w:pPr>
              <w:rPr>
                <w:bCs/>
                <w:iCs/>
                <w:lang w:eastAsia="en-AU"/>
              </w:rPr>
            </w:pPr>
          </w:p>
        </w:tc>
      </w:tr>
      <w:tr w:rsidR="0061383B" w:rsidRPr="00866B0C" w14:paraId="3D8DA423" w14:textId="77777777" w:rsidTr="00417CF0">
        <w:tc>
          <w:tcPr>
            <w:tcW w:w="3266" w:type="dxa"/>
          </w:tcPr>
          <w:p w14:paraId="0A28DDF8" w14:textId="77777777" w:rsidR="0061383B" w:rsidRPr="00866B0C" w:rsidRDefault="0061383B" w:rsidP="00417CF0">
            <w:pPr>
              <w:rPr>
                <w:bCs/>
                <w:i/>
                <w:iCs/>
                <w:lang w:eastAsia="en-AU"/>
              </w:rPr>
            </w:pPr>
            <w:r w:rsidRPr="00866B0C">
              <w:rPr>
                <w:bCs/>
                <w:i/>
                <w:iCs/>
                <w:lang w:eastAsia="en-AU"/>
              </w:rPr>
              <w:lastRenderedPageBreak/>
              <w:t>IUBMB enzyme nomenclature</w:t>
            </w:r>
            <w:r>
              <w:rPr>
                <w:bCs/>
                <w:i/>
                <w:iCs/>
                <w:lang w:eastAsia="en-AU"/>
              </w:rPr>
              <w:t>:</w:t>
            </w:r>
          </w:p>
        </w:tc>
        <w:tc>
          <w:tcPr>
            <w:tcW w:w="6857" w:type="dxa"/>
          </w:tcPr>
          <w:p w14:paraId="5CD82E5C" w14:textId="77777777" w:rsidR="0061383B" w:rsidRDefault="0061383B" w:rsidP="00417CF0">
            <w:pPr>
              <w:rPr>
                <w:bCs/>
                <w:iCs/>
                <w:lang w:eastAsia="en-AU"/>
              </w:rPr>
            </w:pPr>
            <w:r w:rsidRPr="00866B0C">
              <w:rPr>
                <w:bCs/>
                <w:iCs/>
                <w:lang w:eastAsia="en-AU"/>
              </w:rPr>
              <w:t>EC 3.1.1.3</w:t>
            </w:r>
          </w:p>
          <w:p w14:paraId="6C777342" w14:textId="77777777" w:rsidR="0061383B" w:rsidRPr="006E4128" w:rsidRDefault="0061383B" w:rsidP="00417CF0">
            <w:pPr>
              <w:rPr>
                <w:bCs/>
                <w:iCs/>
                <w:lang w:eastAsia="en-AU"/>
              </w:rPr>
            </w:pPr>
          </w:p>
        </w:tc>
      </w:tr>
      <w:tr w:rsidR="0061383B" w:rsidRPr="00866B0C" w14:paraId="6EFBB51F" w14:textId="77777777" w:rsidTr="00417CF0">
        <w:tc>
          <w:tcPr>
            <w:tcW w:w="3266" w:type="dxa"/>
          </w:tcPr>
          <w:p w14:paraId="4312EB31" w14:textId="77777777" w:rsidR="0061383B" w:rsidRPr="00866B0C" w:rsidRDefault="0061383B" w:rsidP="00417CF0">
            <w:pPr>
              <w:rPr>
                <w:bCs/>
                <w:i/>
                <w:iCs/>
                <w:lang w:eastAsia="en-AU"/>
              </w:rPr>
            </w:pPr>
            <w:r w:rsidRPr="00866B0C">
              <w:rPr>
                <w:bCs/>
                <w:i/>
                <w:iCs/>
                <w:lang w:eastAsia="en-AU"/>
              </w:rPr>
              <w:t>CAS</w:t>
            </w:r>
            <w:r>
              <w:rPr>
                <w:rStyle w:val="FootnoteReference"/>
                <w:bCs/>
                <w:i/>
                <w:iCs/>
                <w:lang w:eastAsia="en-AU"/>
              </w:rPr>
              <w:footnoteReference w:id="4"/>
            </w:r>
            <w:r w:rsidRPr="00866B0C">
              <w:rPr>
                <w:bCs/>
                <w:i/>
                <w:iCs/>
                <w:lang w:eastAsia="en-AU"/>
              </w:rPr>
              <w:t xml:space="preserve"> registry number: </w:t>
            </w:r>
          </w:p>
        </w:tc>
        <w:tc>
          <w:tcPr>
            <w:tcW w:w="6857" w:type="dxa"/>
          </w:tcPr>
          <w:p w14:paraId="47D5925D" w14:textId="77777777" w:rsidR="0061383B" w:rsidRPr="002F041E" w:rsidRDefault="0061383B" w:rsidP="00417CF0">
            <w:pPr>
              <w:rPr>
                <w:bCs/>
                <w:iCs/>
                <w:lang w:eastAsia="en-AU"/>
              </w:rPr>
            </w:pPr>
            <w:r w:rsidRPr="002F041E">
              <w:rPr>
                <w:bCs/>
                <w:iCs/>
                <w:lang w:eastAsia="en-AU"/>
              </w:rPr>
              <w:t>9001-62-1</w:t>
            </w:r>
          </w:p>
          <w:p w14:paraId="675CD246" w14:textId="77777777" w:rsidR="0061383B" w:rsidRPr="00866B0C" w:rsidRDefault="0061383B" w:rsidP="00417CF0">
            <w:pPr>
              <w:rPr>
                <w:bCs/>
                <w:iCs/>
                <w:lang w:eastAsia="en-AU"/>
              </w:rPr>
            </w:pPr>
          </w:p>
        </w:tc>
      </w:tr>
      <w:tr w:rsidR="0061383B" w:rsidRPr="00866B0C" w14:paraId="28F62F8E" w14:textId="77777777" w:rsidTr="00417CF0">
        <w:tc>
          <w:tcPr>
            <w:tcW w:w="3266" w:type="dxa"/>
          </w:tcPr>
          <w:p w14:paraId="49606377" w14:textId="77777777" w:rsidR="0061383B" w:rsidRPr="00866B0C" w:rsidRDefault="0061383B" w:rsidP="00417CF0">
            <w:pPr>
              <w:rPr>
                <w:bCs/>
                <w:i/>
                <w:iCs/>
                <w:lang w:eastAsia="en-AU"/>
              </w:rPr>
            </w:pPr>
            <w:r>
              <w:rPr>
                <w:bCs/>
                <w:i/>
                <w:iCs/>
                <w:lang w:eastAsia="en-AU"/>
              </w:rPr>
              <w:t>Reaction:</w:t>
            </w:r>
          </w:p>
        </w:tc>
        <w:tc>
          <w:tcPr>
            <w:tcW w:w="6857" w:type="dxa"/>
          </w:tcPr>
          <w:p w14:paraId="11D4BA27" w14:textId="77777777" w:rsidR="0061383B" w:rsidRPr="002F041E" w:rsidRDefault="0061383B" w:rsidP="00417CF0">
            <w:pPr>
              <w:rPr>
                <w:bCs/>
                <w:iCs/>
                <w:lang w:eastAsia="en-AU"/>
              </w:rPr>
            </w:pPr>
            <w:r>
              <w:rPr>
                <w:bCs/>
                <w:iCs/>
                <w:lang w:eastAsia="en-AU"/>
              </w:rPr>
              <w:t>Triacylglycerol + H</w:t>
            </w:r>
            <w:r w:rsidRPr="00F10908">
              <w:rPr>
                <w:bCs/>
                <w:iCs/>
                <w:vertAlign w:val="subscript"/>
                <w:lang w:eastAsia="en-AU"/>
              </w:rPr>
              <w:t>2</w:t>
            </w:r>
            <w:r>
              <w:rPr>
                <w:bCs/>
                <w:iCs/>
                <w:lang w:eastAsia="en-AU"/>
              </w:rPr>
              <w:t>O = d</w:t>
            </w:r>
            <w:r w:rsidRPr="002F041E">
              <w:rPr>
                <w:bCs/>
                <w:iCs/>
                <w:lang w:eastAsia="en-AU"/>
              </w:rPr>
              <w:t xml:space="preserve">iacylglycerol + </w:t>
            </w:r>
            <w:r>
              <w:rPr>
                <w:bCs/>
                <w:iCs/>
                <w:lang w:eastAsia="en-AU"/>
              </w:rPr>
              <w:t>c</w:t>
            </w:r>
            <w:r w:rsidRPr="002F041E">
              <w:rPr>
                <w:bCs/>
                <w:iCs/>
                <w:lang w:eastAsia="en-AU"/>
              </w:rPr>
              <w:t>arboxylate</w:t>
            </w:r>
          </w:p>
        </w:tc>
      </w:tr>
    </w:tbl>
    <w:p w14:paraId="70B813EA" w14:textId="45EBD472" w:rsidR="00A13C55" w:rsidRPr="00837263" w:rsidRDefault="00A13C55" w:rsidP="00691270"/>
    <w:p w14:paraId="347371FE" w14:textId="76AE52D4" w:rsidR="00837263" w:rsidRDefault="00837263" w:rsidP="00691270">
      <w:r>
        <w:t xml:space="preserve">The enzyme preparation can </w:t>
      </w:r>
      <w:r w:rsidR="002F54D8">
        <w:t>take the form of an</w:t>
      </w:r>
      <w:r>
        <w:t xml:space="preserve"> amber to brown liquid, or if used for baking</w:t>
      </w:r>
      <w:r w:rsidR="003D01D4">
        <w:t>,</w:t>
      </w:r>
      <w:r>
        <w:t xml:space="preserve"> an off-white powder. The carrier for the liquid preparation is glycerol and water. The powder is sprayed dried on either potato or wheat starch.</w:t>
      </w:r>
      <w:r w:rsidR="0081338B">
        <w:t xml:space="preserve"> Baked products usually use wheat or other cereals containing gluten as ingredients so the requirements for potential allergen declarations are already co</w:t>
      </w:r>
      <w:r w:rsidR="002F54D8">
        <w:t>vered due to</w:t>
      </w:r>
      <w:r w:rsidR="0081338B">
        <w:t xml:space="preserve"> the use of </w:t>
      </w:r>
      <w:r w:rsidR="002F54D8">
        <w:t xml:space="preserve">such </w:t>
      </w:r>
      <w:r w:rsidR="0081338B">
        <w:t>ingredients. Food manufacturers need to be aware of the source of the carrier for the enzyme preparation and the potential allergen declarations.</w:t>
      </w:r>
    </w:p>
    <w:p w14:paraId="5F85B8BC" w14:textId="2AF0DFCF" w:rsidR="0081338B" w:rsidRDefault="0081338B" w:rsidP="00691270"/>
    <w:p w14:paraId="75C6D54C" w14:textId="66209C99" w:rsidR="0081338B" w:rsidRDefault="007F7281" w:rsidP="00691270">
      <w:r>
        <w:t xml:space="preserve">The following information </w:t>
      </w:r>
      <w:r w:rsidR="00496304">
        <w:t>wa</w:t>
      </w:r>
      <w:r>
        <w:t xml:space="preserve">s provided in the application. </w:t>
      </w:r>
      <w:r w:rsidR="0081338B">
        <w:t>The optimum temperature for enzyme activity is 30</w:t>
      </w:r>
      <w:r w:rsidR="000F486C">
        <w:rPr>
          <w:rFonts w:cs="Arial"/>
        </w:rPr>
        <w:t>°</w:t>
      </w:r>
      <w:r w:rsidR="0081338B">
        <w:t>C, with relatively high activity up to 40</w:t>
      </w:r>
      <w:r w:rsidR="000F486C">
        <w:rPr>
          <w:rFonts w:cs="Arial"/>
        </w:rPr>
        <w:t>°</w:t>
      </w:r>
      <w:r w:rsidR="0081338B">
        <w:t>C. The activity is reduced below 50% at temperatures above 45</w:t>
      </w:r>
      <w:r w:rsidR="003D01D4">
        <w:rPr>
          <w:rFonts w:cs="Arial"/>
        </w:rPr>
        <w:t>°</w:t>
      </w:r>
      <w:r w:rsidR="003D01D4">
        <w:t>C</w:t>
      </w:r>
      <w:r w:rsidR="0081338B">
        <w:t>. The enzyme is inactivated after 100 minutes at 70</w:t>
      </w:r>
      <w:r w:rsidR="000F486C">
        <w:rPr>
          <w:rFonts w:cs="Arial"/>
        </w:rPr>
        <w:t>°</w:t>
      </w:r>
      <w:r w:rsidR="0081338B">
        <w:t xml:space="preserve">C, though it is relatively stable for 45 minutes at this temperature. </w:t>
      </w:r>
    </w:p>
    <w:p w14:paraId="23EB40A1" w14:textId="69376DAA" w:rsidR="0081338B" w:rsidRDefault="0081338B" w:rsidP="00691270"/>
    <w:p w14:paraId="0E76EFF9" w14:textId="1BAB9773" w:rsidR="0081338B" w:rsidRDefault="0081338B" w:rsidP="00691270">
      <w:r>
        <w:t>The optimum pH for enzyme activity is between 5.5 and 6.0</w:t>
      </w:r>
      <w:r w:rsidR="00997E93">
        <w:t xml:space="preserve">, with reasonable activity between 5.0 and 7.0. </w:t>
      </w:r>
    </w:p>
    <w:p w14:paraId="38CB22A7" w14:textId="69985861" w:rsidR="00997E93" w:rsidRDefault="00997E93" w:rsidP="00691270"/>
    <w:p w14:paraId="14836652" w14:textId="57F2D43C" w:rsidR="00997E93" w:rsidRPr="00837263" w:rsidRDefault="00997E93" w:rsidP="00691270">
      <w:r>
        <w:t>The enzyme preparation is relatively stable when stored at 5</w:t>
      </w:r>
      <w:r w:rsidR="000F486C">
        <w:rPr>
          <w:rFonts w:cs="Arial"/>
        </w:rPr>
        <w:t>°</w:t>
      </w:r>
      <w:r>
        <w:t>C and 20</w:t>
      </w:r>
      <w:r w:rsidR="000F486C">
        <w:rPr>
          <w:rFonts w:cs="Arial"/>
        </w:rPr>
        <w:t>°</w:t>
      </w:r>
      <w:r>
        <w:t xml:space="preserve">C </w:t>
      </w:r>
      <w:r w:rsidR="00745856">
        <w:t xml:space="preserve">for </w:t>
      </w:r>
      <w:r>
        <w:t xml:space="preserve">up to </w:t>
      </w:r>
      <w:r w:rsidR="00501FBF">
        <w:t>one</w:t>
      </w:r>
      <w:r>
        <w:t xml:space="preserve"> year with little loss of activity.</w:t>
      </w:r>
    </w:p>
    <w:p w14:paraId="28AF358A" w14:textId="77777777" w:rsidR="00A13C55" w:rsidRDefault="001E6A7B" w:rsidP="00A13C55">
      <w:pPr>
        <w:pStyle w:val="Heading3"/>
      </w:pPr>
      <w:bookmarkStart w:id="13" w:name="_Toc4152925"/>
      <w:r>
        <w:t>2.1.2</w:t>
      </w:r>
      <w:r>
        <w:tab/>
        <w:t>Technological purpose of the enzyme</w:t>
      </w:r>
      <w:bookmarkEnd w:id="13"/>
      <w:r w:rsidR="00A13C55">
        <w:t xml:space="preserve"> </w:t>
      </w:r>
    </w:p>
    <w:p w14:paraId="4B749152" w14:textId="0DDC11F1" w:rsidR="00691270" w:rsidRDefault="00314167" w:rsidP="00691270">
      <w:r>
        <w:t>Triacylglycerol lipase catalyses the hydrolysis of</w:t>
      </w:r>
      <w:r w:rsidR="00501FBF">
        <w:t xml:space="preserve"> the</w:t>
      </w:r>
      <w:r>
        <w:t xml:space="preserve"> ester bonds of triacylglycerols (</w:t>
      </w:r>
      <w:r w:rsidR="000F486C">
        <w:t xml:space="preserve">also called </w:t>
      </w:r>
      <w:r>
        <w:t xml:space="preserve">triglycerides), resulting in the formation of mono- and diacylglycerols, free fatty acids, and glycerol. This reaction is </w:t>
      </w:r>
      <w:r w:rsidR="0090347F">
        <w:t>summarised</w:t>
      </w:r>
      <w:r>
        <w:t xml:space="preserve"> </w:t>
      </w:r>
      <w:r w:rsidR="00C907FA">
        <w:t xml:space="preserve">in </w:t>
      </w:r>
      <w:r w:rsidR="00AB6DDA">
        <w:t>F</w:t>
      </w:r>
      <w:r>
        <w:t>igure</w:t>
      </w:r>
      <w:r w:rsidR="00AB6DDA">
        <w:t xml:space="preserve"> 1 (taken from the reference listed)</w:t>
      </w:r>
      <w:r w:rsidR="00A13C55">
        <w:t>.</w:t>
      </w:r>
      <w:r>
        <w:t xml:space="preserve"> </w:t>
      </w:r>
    </w:p>
    <w:p w14:paraId="2214450E" w14:textId="4074CE0C" w:rsidR="00314167" w:rsidRDefault="00314167" w:rsidP="00691270">
      <w:pPr>
        <w:rPr>
          <w:lang w:eastAsia="en-AU" w:bidi="ar-SA"/>
        </w:rPr>
      </w:pPr>
    </w:p>
    <w:p w14:paraId="5C118291" w14:textId="1582BE05" w:rsidR="00314167" w:rsidRDefault="00A13C55" w:rsidP="00691270">
      <w:pPr>
        <w:rPr>
          <w:lang w:eastAsia="en-AU" w:bidi="ar-SA"/>
        </w:rPr>
      </w:pPr>
      <w:r>
        <w:rPr>
          <w:noProof/>
          <w:color w:val="0000FF"/>
          <w:lang w:eastAsia="en-GB" w:bidi="ar-SA"/>
        </w:rPr>
        <w:drawing>
          <wp:inline distT="0" distB="0" distL="0" distR="0" wp14:anchorId="53C0759F" wp14:editId="035B48DA">
            <wp:extent cx="5759450" cy="1685449"/>
            <wp:effectExtent l="0" t="0" r="0" b="0"/>
            <wp:docPr id="2" name="irc_mi" descr="Related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685449"/>
                    </a:xfrm>
                    <a:prstGeom prst="rect">
                      <a:avLst/>
                    </a:prstGeom>
                    <a:noFill/>
                    <a:ln>
                      <a:noFill/>
                    </a:ln>
                  </pic:spPr>
                </pic:pic>
              </a:graphicData>
            </a:graphic>
          </wp:inline>
        </w:drawing>
      </w:r>
    </w:p>
    <w:p w14:paraId="01B87F0C" w14:textId="2E33E7FE" w:rsidR="00314167" w:rsidRDefault="00314167" w:rsidP="00691270">
      <w:pPr>
        <w:rPr>
          <w:lang w:eastAsia="en-AU" w:bidi="ar-SA"/>
        </w:rPr>
      </w:pPr>
    </w:p>
    <w:p w14:paraId="6199151C" w14:textId="31DF4356" w:rsidR="00AB6DDA" w:rsidRDefault="00AB6DDA" w:rsidP="00AB6DDA">
      <w:pPr>
        <w:pStyle w:val="FSFigureTitle"/>
        <w:ind w:firstLine="567"/>
        <w:rPr>
          <w:lang w:eastAsia="en-AU" w:bidi="ar-SA"/>
        </w:rPr>
      </w:pPr>
      <w:r>
        <w:rPr>
          <w:lang w:eastAsia="en-AU" w:bidi="ar-SA"/>
        </w:rPr>
        <w:t>Figure 1  Schematic indicating the reaction of triacylglycerol lipase</w:t>
      </w:r>
    </w:p>
    <w:p w14:paraId="6ADB0FFF" w14:textId="77777777" w:rsidR="00AB6DDA" w:rsidRDefault="00AB6DDA" w:rsidP="00691270">
      <w:pPr>
        <w:rPr>
          <w:lang w:eastAsia="en-AU" w:bidi="ar-SA"/>
        </w:rPr>
      </w:pPr>
    </w:p>
    <w:p w14:paraId="1857C801" w14:textId="16FD5E10" w:rsidR="0090347F" w:rsidRDefault="0090347F" w:rsidP="00691270">
      <w:pPr>
        <w:rPr>
          <w:lang w:eastAsia="en-AU" w:bidi="ar-SA"/>
        </w:rPr>
      </w:pPr>
      <w:r>
        <w:rPr>
          <w:lang w:eastAsia="en-AU" w:bidi="ar-SA"/>
        </w:rPr>
        <w:t>The technological purpose</w:t>
      </w:r>
      <w:r w:rsidR="001261C2">
        <w:rPr>
          <w:lang w:eastAsia="en-AU" w:bidi="ar-SA"/>
        </w:rPr>
        <w:t>s</w:t>
      </w:r>
      <w:r>
        <w:rPr>
          <w:lang w:eastAsia="en-AU" w:bidi="ar-SA"/>
        </w:rPr>
        <w:t xml:space="preserve"> of the enzyme are provided below.</w:t>
      </w:r>
    </w:p>
    <w:p w14:paraId="110E4330" w14:textId="77777777" w:rsidR="00501FBF" w:rsidRDefault="00501FBF" w:rsidP="00691270">
      <w:pPr>
        <w:rPr>
          <w:lang w:eastAsia="en-AU" w:bidi="ar-SA"/>
        </w:rPr>
      </w:pPr>
    </w:p>
    <w:p w14:paraId="7BD5590F" w14:textId="75501D56" w:rsidR="0090347F" w:rsidRDefault="0090347F" w:rsidP="00691270">
      <w:pPr>
        <w:rPr>
          <w:lang w:eastAsia="en-AU" w:bidi="ar-SA"/>
        </w:rPr>
      </w:pPr>
    </w:p>
    <w:p w14:paraId="1D825FB6" w14:textId="3F7CFC50" w:rsidR="0090347F" w:rsidRDefault="00496304" w:rsidP="00691270">
      <w:pPr>
        <w:rPr>
          <w:i/>
          <w:lang w:eastAsia="en-AU" w:bidi="ar-SA"/>
        </w:rPr>
      </w:pPr>
      <w:r>
        <w:rPr>
          <w:i/>
          <w:lang w:eastAsia="en-AU" w:bidi="ar-SA"/>
        </w:rPr>
        <w:lastRenderedPageBreak/>
        <w:t>Production of bake</w:t>
      </w:r>
      <w:r w:rsidR="009F05E5">
        <w:rPr>
          <w:i/>
          <w:lang w:eastAsia="en-AU" w:bidi="ar-SA"/>
        </w:rPr>
        <w:t>ry products</w:t>
      </w:r>
    </w:p>
    <w:p w14:paraId="230CE2A9" w14:textId="77777777" w:rsidR="00A151F1" w:rsidRDefault="00A151F1" w:rsidP="00691270">
      <w:pPr>
        <w:rPr>
          <w:i/>
          <w:lang w:eastAsia="en-AU" w:bidi="ar-SA"/>
        </w:rPr>
      </w:pPr>
    </w:p>
    <w:p w14:paraId="311F5E24" w14:textId="092A0D31" w:rsidR="000C012C" w:rsidRDefault="000C012C" w:rsidP="000C012C">
      <w:pPr>
        <w:rPr>
          <w:lang w:eastAsia="en-AU" w:bidi="ar-SA"/>
        </w:rPr>
      </w:pPr>
      <w:r>
        <w:rPr>
          <w:lang w:eastAsia="en-AU" w:bidi="ar-SA"/>
        </w:rPr>
        <w:t xml:space="preserve">Adding the enzyme to the dough for the production of baked goods improves the quality of these products. </w:t>
      </w:r>
      <w:r w:rsidR="0090347F">
        <w:rPr>
          <w:lang w:eastAsia="en-AU" w:bidi="ar-SA"/>
        </w:rPr>
        <w:t xml:space="preserve">Wheat flour used in the baking industry typically contains around 2% lipids, half of which are usually non-polar lipids such as triglycerides, diglycerides, sterols and sterol esters, while the rest are polar lipids </w:t>
      </w:r>
      <w:r>
        <w:rPr>
          <w:lang w:eastAsia="en-AU" w:bidi="ar-SA"/>
        </w:rPr>
        <w:t xml:space="preserve">mainly containing galactolipids and phospholipids. Adding the enzyme to the dough modifies the </w:t>
      </w:r>
      <w:r w:rsidR="000F486C">
        <w:rPr>
          <w:lang w:eastAsia="en-AU" w:bidi="ar-SA"/>
        </w:rPr>
        <w:t>non-</w:t>
      </w:r>
      <w:r>
        <w:rPr>
          <w:lang w:eastAsia="en-AU" w:bidi="ar-SA"/>
        </w:rPr>
        <w:t xml:space="preserve">polar lipids to produce more polar lipids such as lyso-phospholipids and lyso-galactolipids. Also the action of the enzyme on the non-polar lipids produces mono- and diglycerides and free fatty acids. The overall effect of the action of the enzyme on the dough is to improve the dough stability and handling properties. </w:t>
      </w:r>
      <w:r w:rsidR="00C907FA">
        <w:rPr>
          <w:lang w:eastAsia="en-AU" w:bidi="ar-SA"/>
        </w:rPr>
        <w:t>T</w:t>
      </w:r>
      <w:r>
        <w:rPr>
          <w:lang w:eastAsia="en-AU" w:bidi="ar-SA"/>
        </w:rPr>
        <w:t>he polar lipids produced also lead to breads and baked goods with improved volume and a homogenous crumb structure with consistent pores.</w:t>
      </w:r>
    </w:p>
    <w:p w14:paraId="5E89C7FE" w14:textId="26C41C76" w:rsidR="000C012C" w:rsidRDefault="000C012C" w:rsidP="000C012C">
      <w:pPr>
        <w:rPr>
          <w:lang w:eastAsia="en-AU" w:bidi="ar-SA"/>
        </w:rPr>
      </w:pPr>
    </w:p>
    <w:p w14:paraId="4C84935D" w14:textId="708A3F7A" w:rsidR="000C012C" w:rsidRDefault="001261C2" w:rsidP="000C012C">
      <w:r>
        <w:t xml:space="preserve">When the enzyme is used to treat the dough for the manufacture of pasta and noodles it </w:t>
      </w:r>
      <w:r w:rsidR="00501FBF">
        <w:t>again</w:t>
      </w:r>
      <w:r>
        <w:t xml:space="preserve"> produces more polar lipids</w:t>
      </w:r>
      <w:r w:rsidR="00501FBF">
        <w:t xml:space="preserve">; this </w:t>
      </w:r>
      <w:r>
        <w:t>improves the quality of the final pasta or noodle product</w:t>
      </w:r>
      <w:r w:rsidR="00C907FA">
        <w:t>. This is turn results in</w:t>
      </w:r>
      <w:r>
        <w:t xml:space="preserve"> lower cooking losses and improved eating quality.</w:t>
      </w:r>
    </w:p>
    <w:p w14:paraId="1F51B4C0" w14:textId="62666B1A" w:rsidR="001261C2" w:rsidRDefault="001261C2" w:rsidP="000C012C"/>
    <w:p w14:paraId="0E27A9E7" w14:textId="6CAC557D" w:rsidR="001261C2" w:rsidRDefault="001261C2" w:rsidP="000C012C">
      <w:r>
        <w:t>In summary the benefits of using triacylglycerol lipase in the baking industry are:</w:t>
      </w:r>
    </w:p>
    <w:p w14:paraId="1CC750A8" w14:textId="40A658F5" w:rsidR="001261C2" w:rsidRDefault="001261C2" w:rsidP="001261C2">
      <w:pPr>
        <w:pStyle w:val="FSBullet1"/>
      </w:pPr>
      <w:r>
        <w:t>improved dough handling (extensibility and stability)</w:t>
      </w:r>
    </w:p>
    <w:p w14:paraId="48AF786F" w14:textId="2A48AD0A" w:rsidR="001261C2" w:rsidRDefault="001261C2" w:rsidP="001261C2">
      <w:pPr>
        <w:pStyle w:val="FSBullet1"/>
      </w:pPr>
      <w:r>
        <w:t>improved dough structure and behaviour during baking</w:t>
      </w:r>
    </w:p>
    <w:p w14:paraId="41231493" w14:textId="006B714F" w:rsidR="001261C2" w:rsidRDefault="00A27918" w:rsidP="009125DA">
      <w:pPr>
        <w:pStyle w:val="FSBullet1"/>
      </w:pPr>
      <w:r>
        <w:t>increased</w:t>
      </w:r>
      <w:r w:rsidR="001261C2">
        <w:t xml:space="preserve"> uniform</w:t>
      </w:r>
      <w:r w:rsidR="00E62208">
        <w:t>ity</w:t>
      </w:r>
      <w:r w:rsidR="001261C2">
        <w:t xml:space="preserve"> and volume </w:t>
      </w:r>
      <w:r>
        <w:t>in</w:t>
      </w:r>
      <w:r w:rsidR="001261C2">
        <w:t xml:space="preserve"> baked product</w:t>
      </w:r>
      <w:r>
        <w:t>s</w:t>
      </w:r>
      <w:r w:rsidR="00E62208">
        <w:t>,</w:t>
      </w:r>
      <w:r w:rsidR="001261C2">
        <w:t xml:space="preserve"> with </w:t>
      </w:r>
      <w:r w:rsidR="00E62208">
        <w:t xml:space="preserve">an </w:t>
      </w:r>
      <w:r w:rsidR="001261C2">
        <w:t>improved crumb structure</w:t>
      </w:r>
      <w:r w:rsidR="009125DA">
        <w:t xml:space="preserve"> </w:t>
      </w:r>
    </w:p>
    <w:p w14:paraId="0ECE5E73" w14:textId="6EF7AEC6" w:rsidR="001261C2" w:rsidRDefault="001261C2" w:rsidP="001261C2">
      <w:pPr>
        <w:pStyle w:val="FSBullet1"/>
      </w:pPr>
      <w:r>
        <w:t>improved eating qualities of pasta and noodle products due to softer textural characteristics</w:t>
      </w:r>
      <w:r w:rsidR="00AB6DDA" w:rsidRPr="00AB6DDA">
        <w:t xml:space="preserve"> </w:t>
      </w:r>
      <w:r w:rsidR="00AB6DDA">
        <w:t>and</w:t>
      </w:r>
      <w:r w:rsidR="00AB6DDA" w:rsidRPr="009125DA">
        <w:rPr>
          <w:lang w:eastAsia="en-AU"/>
        </w:rPr>
        <w:t xml:space="preserve"> </w:t>
      </w:r>
      <w:r w:rsidR="00AB6DDA">
        <w:rPr>
          <w:lang w:eastAsia="en-AU"/>
        </w:rPr>
        <w:t>improved appearance (whiteness, shine and smoothness)</w:t>
      </w:r>
    </w:p>
    <w:p w14:paraId="3CCE378A" w14:textId="4B6477C1" w:rsidR="001261C2" w:rsidRDefault="001261C2" w:rsidP="001261C2">
      <w:pPr>
        <w:pStyle w:val="FSBullet1"/>
      </w:pPr>
      <w:r>
        <w:t>lower cooking losses for pasta and noodle products.</w:t>
      </w:r>
    </w:p>
    <w:p w14:paraId="6852F9FB" w14:textId="488B8330" w:rsidR="001261C2" w:rsidRDefault="001261C2" w:rsidP="001261C2">
      <w:pPr>
        <w:rPr>
          <w:lang w:bidi="ar-SA"/>
        </w:rPr>
      </w:pPr>
    </w:p>
    <w:p w14:paraId="2B34A487" w14:textId="5EE700C2" w:rsidR="001261C2" w:rsidRDefault="00496304" w:rsidP="001261C2">
      <w:pPr>
        <w:rPr>
          <w:i/>
          <w:lang w:bidi="ar-SA"/>
        </w:rPr>
      </w:pPr>
      <w:r>
        <w:rPr>
          <w:i/>
          <w:lang w:bidi="ar-SA"/>
        </w:rPr>
        <w:t xml:space="preserve">Production of cereal-based </w:t>
      </w:r>
      <w:r w:rsidR="009D38AA">
        <w:rPr>
          <w:i/>
          <w:lang w:bidi="ar-SA"/>
        </w:rPr>
        <w:t>beverages and foods</w:t>
      </w:r>
    </w:p>
    <w:p w14:paraId="076A7266" w14:textId="77777777" w:rsidR="00A151F1" w:rsidRPr="001261C2" w:rsidRDefault="00A151F1" w:rsidP="001261C2">
      <w:pPr>
        <w:rPr>
          <w:lang w:bidi="ar-SA"/>
        </w:rPr>
      </w:pPr>
    </w:p>
    <w:p w14:paraId="00A81838" w14:textId="77777777" w:rsidR="009F05E5" w:rsidRDefault="00720351" w:rsidP="00691270">
      <w:pPr>
        <w:rPr>
          <w:lang w:eastAsia="en-AU" w:bidi="ar-SA"/>
        </w:rPr>
      </w:pPr>
      <w:r>
        <w:rPr>
          <w:lang w:eastAsia="en-AU" w:bidi="ar-SA"/>
        </w:rPr>
        <w:t xml:space="preserve">Triacylglycerol lipase is used in the </w:t>
      </w:r>
      <w:r w:rsidR="00926CD5">
        <w:rPr>
          <w:lang w:eastAsia="en-AU" w:bidi="ar-SA"/>
        </w:rPr>
        <w:t xml:space="preserve">production of </w:t>
      </w:r>
      <w:r w:rsidR="006D344A">
        <w:rPr>
          <w:lang w:eastAsia="en-AU" w:bidi="ar-SA"/>
        </w:rPr>
        <w:t xml:space="preserve">liquid worts from cereal mash, where it </w:t>
      </w:r>
      <w:r>
        <w:rPr>
          <w:lang w:eastAsia="en-AU" w:bidi="ar-SA"/>
        </w:rPr>
        <w:t>improve</w:t>
      </w:r>
      <w:r w:rsidR="006D344A">
        <w:rPr>
          <w:lang w:eastAsia="en-AU" w:bidi="ar-SA"/>
        </w:rPr>
        <w:t>s</w:t>
      </w:r>
      <w:r>
        <w:rPr>
          <w:lang w:eastAsia="en-AU" w:bidi="ar-SA"/>
        </w:rPr>
        <w:t xml:space="preserve"> mash separation</w:t>
      </w:r>
      <w:r w:rsidR="006D344A">
        <w:rPr>
          <w:lang w:eastAsia="en-AU" w:bidi="ar-SA"/>
        </w:rPr>
        <w:t xml:space="preserve">, especially for non-malted cereals. Specifically, during </w:t>
      </w:r>
      <w:r>
        <w:rPr>
          <w:lang w:eastAsia="en-AU" w:bidi="ar-SA"/>
        </w:rPr>
        <w:t xml:space="preserve">the mashing </w:t>
      </w:r>
      <w:r w:rsidR="006D344A">
        <w:rPr>
          <w:lang w:eastAsia="en-AU" w:bidi="ar-SA"/>
        </w:rPr>
        <w:t>process,</w:t>
      </w:r>
      <w:r>
        <w:rPr>
          <w:lang w:eastAsia="en-AU" w:bidi="ar-SA"/>
        </w:rPr>
        <w:t xml:space="preserve"> the enzyme </w:t>
      </w:r>
      <w:r w:rsidR="006D344A">
        <w:rPr>
          <w:lang w:eastAsia="en-AU" w:bidi="ar-SA"/>
        </w:rPr>
        <w:t xml:space="preserve">helps </w:t>
      </w:r>
      <w:r>
        <w:rPr>
          <w:lang w:eastAsia="en-AU" w:bidi="ar-SA"/>
        </w:rPr>
        <w:t>reduce lipid concentration</w:t>
      </w:r>
      <w:r w:rsidR="00C907FA">
        <w:rPr>
          <w:lang w:eastAsia="en-AU" w:bidi="ar-SA"/>
        </w:rPr>
        <w:t>,</w:t>
      </w:r>
      <w:r>
        <w:rPr>
          <w:lang w:eastAsia="en-AU" w:bidi="ar-SA"/>
        </w:rPr>
        <w:t xml:space="preserve"> which improves the separation of the wort from the mash solids. </w:t>
      </w:r>
    </w:p>
    <w:p w14:paraId="5080296C" w14:textId="77777777" w:rsidR="009F05E5" w:rsidRDefault="009F05E5" w:rsidP="00691270">
      <w:pPr>
        <w:rPr>
          <w:lang w:eastAsia="en-AU" w:bidi="ar-SA"/>
        </w:rPr>
      </w:pPr>
    </w:p>
    <w:p w14:paraId="640448F0" w14:textId="6B3E4F96" w:rsidR="009A686A" w:rsidRDefault="006D344A" w:rsidP="00691270">
      <w:pPr>
        <w:rPr>
          <w:lang w:eastAsia="en-AU" w:bidi="ar-SA"/>
        </w:rPr>
      </w:pPr>
      <w:r>
        <w:rPr>
          <w:lang w:eastAsia="en-AU" w:bidi="ar-SA"/>
        </w:rPr>
        <w:t>In brewing, t</w:t>
      </w:r>
      <w:r w:rsidR="009A686A">
        <w:rPr>
          <w:lang w:eastAsia="en-AU" w:bidi="ar-SA"/>
        </w:rPr>
        <w:t>he wort</w:t>
      </w:r>
      <w:r>
        <w:rPr>
          <w:lang w:eastAsia="en-AU" w:bidi="ar-SA"/>
        </w:rPr>
        <w:t xml:space="preserve"> </w:t>
      </w:r>
      <w:r w:rsidR="009A686A">
        <w:rPr>
          <w:lang w:eastAsia="en-AU" w:bidi="ar-SA"/>
        </w:rPr>
        <w:t>undergo</w:t>
      </w:r>
      <w:r>
        <w:rPr>
          <w:lang w:eastAsia="en-AU" w:bidi="ar-SA"/>
        </w:rPr>
        <w:t xml:space="preserve">es a fermentation process </w:t>
      </w:r>
      <w:r w:rsidR="009F05E5">
        <w:rPr>
          <w:lang w:eastAsia="en-AU" w:bidi="ar-SA"/>
        </w:rPr>
        <w:t xml:space="preserve">with yeast </w:t>
      </w:r>
      <w:r>
        <w:rPr>
          <w:lang w:eastAsia="en-AU" w:bidi="ar-SA"/>
        </w:rPr>
        <w:t xml:space="preserve">to produce </w:t>
      </w:r>
      <w:r w:rsidR="009A686A">
        <w:rPr>
          <w:lang w:eastAsia="en-AU" w:bidi="ar-SA"/>
        </w:rPr>
        <w:t xml:space="preserve">beer or alternative alcoholic beverages. </w:t>
      </w:r>
      <w:r w:rsidR="009F05E5">
        <w:rPr>
          <w:lang w:eastAsia="en-AU" w:bidi="ar-SA"/>
        </w:rPr>
        <w:t xml:space="preserve">It is during this fermentation process that the </w:t>
      </w:r>
      <w:r>
        <w:rPr>
          <w:lang w:eastAsia="en-AU" w:bidi="ar-SA"/>
        </w:rPr>
        <w:t xml:space="preserve">enzyme is </w:t>
      </w:r>
      <w:r w:rsidR="009F05E5">
        <w:rPr>
          <w:lang w:eastAsia="en-AU" w:bidi="ar-SA"/>
        </w:rPr>
        <w:t xml:space="preserve">again of </w:t>
      </w:r>
      <w:r>
        <w:rPr>
          <w:lang w:eastAsia="en-AU" w:bidi="ar-SA"/>
        </w:rPr>
        <w:t xml:space="preserve">assistance, as </w:t>
      </w:r>
      <w:r w:rsidR="009F05E5">
        <w:rPr>
          <w:lang w:eastAsia="en-AU" w:bidi="ar-SA"/>
        </w:rPr>
        <w:t xml:space="preserve">it reduces </w:t>
      </w:r>
      <w:r w:rsidR="009A686A">
        <w:rPr>
          <w:lang w:eastAsia="en-AU" w:bidi="ar-SA"/>
        </w:rPr>
        <w:t>the lipid (triglycerides) concentration</w:t>
      </w:r>
      <w:r w:rsidR="009F05E5">
        <w:rPr>
          <w:lang w:eastAsia="en-AU" w:bidi="ar-SA"/>
        </w:rPr>
        <w:t xml:space="preserve">. Lipids would otherwise </w:t>
      </w:r>
      <w:r w:rsidR="009A686A">
        <w:rPr>
          <w:lang w:eastAsia="en-AU" w:bidi="ar-SA"/>
        </w:rPr>
        <w:t>encapsulate the active yeast and impede the fermentation.</w:t>
      </w:r>
    </w:p>
    <w:p w14:paraId="34A26301" w14:textId="77777777" w:rsidR="009F05E5" w:rsidRDefault="009F05E5" w:rsidP="00691270">
      <w:pPr>
        <w:rPr>
          <w:lang w:eastAsia="en-AU" w:bidi="ar-SA"/>
        </w:rPr>
      </w:pPr>
    </w:p>
    <w:p w14:paraId="6C443F01" w14:textId="05B3E060" w:rsidR="009F05E5" w:rsidRDefault="009F05E5" w:rsidP="009F05E5">
      <w:pPr>
        <w:rPr>
          <w:lang w:eastAsia="en-AU" w:bidi="ar-SA"/>
        </w:rPr>
      </w:pPr>
      <w:r w:rsidRPr="006D344A">
        <w:rPr>
          <w:lang w:eastAsia="en-AU" w:bidi="ar-SA"/>
        </w:rPr>
        <w:t xml:space="preserve">The wort can be used not only in the brewing of cereal-based beverages, but </w:t>
      </w:r>
      <w:r>
        <w:rPr>
          <w:lang w:eastAsia="en-AU" w:bidi="ar-SA"/>
        </w:rPr>
        <w:t xml:space="preserve">can </w:t>
      </w:r>
      <w:r w:rsidRPr="006D344A">
        <w:rPr>
          <w:lang w:eastAsia="en-AU" w:bidi="ar-SA"/>
        </w:rPr>
        <w:t xml:space="preserve">also be concentrated to produce malt syrups, which in turn can be spray-dried to produce malt flours. The malt extract can then be used in producing </w:t>
      </w:r>
      <w:r>
        <w:rPr>
          <w:lang w:eastAsia="en-AU" w:bidi="ar-SA"/>
        </w:rPr>
        <w:t xml:space="preserve">a range of </w:t>
      </w:r>
      <w:r w:rsidRPr="006D344A">
        <w:rPr>
          <w:lang w:eastAsia="en-AU" w:bidi="ar-SA"/>
        </w:rPr>
        <w:t xml:space="preserve">cereal-based </w:t>
      </w:r>
      <w:r w:rsidR="009D38AA">
        <w:rPr>
          <w:lang w:eastAsia="en-AU" w:bidi="ar-SA"/>
        </w:rPr>
        <w:t>beverages and foods</w:t>
      </w:r>
      <w:r w:rsidRPr="006D344A">
        <w:rPr>
          <w:lang w:eastAsia="en-AU" w:bidi="ar-SA"/>
        </w:rPr>
        <w:t>.</w:t>
      </w:r>
    </w:p>
    <w:p w14:paraId="531B64A2" w14:textId="73DFEF5D" w:rsidR="00720351" w:rsidRDefault="00720351" w:rsidP="00691270">
      <w:pPr>
        <w:rPr>
          <w:lang w:eastAsia="en-AU" w:bidi="ar-SA"/>
        </w:rPr>
      </w:pPr>
    </w:p>
    <w:p w14:paraId="70EEA889" w14:textId="42F6ADA2" w:rsidR="00720351" w:rsidRDefault="00720351" w:rsidP="00691270">
      <w:pPr>
        <w:rPr>
          <w:lang w:eastAsia="en-AU" w:bidi="ar-SA"/>
        </w:rPr>
      </w:pPr>
      <w:r>
        <w:rPr>
          <w:lang w:eastAsia="en-AU" w:bidi="ar-SA"/>
        </w:rPr>
        <w:t>In summary the benefits of using triacylglycerol lipase</w:t>
      </w:r>
      <w:r w:rsidR="009F05E5">
        <w:rPr>
          <w:lang w:eastAsia="en-AU" w:bidi="ar-SA"/>
        </w:rPr>
        <w:t xml:space="preserve"> in the production of </w:t>
      </w:r>
      <w:r w:rsidR="009A686A">
        <w:rPr>
          <w:lang w:eastAsia="en-AU" w:bidi="ar-SA"/>
        </w:rPr>
        <w:t xml:space="preserve">cereal-based </w:t>
      </w:r>
      <w:r w:rsidR="009D38AA">
        <w:rPr>
          <w:lang w:eastAsia="en-AU" w:bidi="ar-SA"/>
        </w:rPr>
        <w:t>beverages and foods</w:t>
      </w:r>
      <w:r w:rsidR="009A686A">
        <w:rPr>
          <w:lang w:eastAsia="en-AU" w:bidi="ar-SA"/>
        </w:rPr>
        <w:t>, including in</w:t>
      </w:r>
      <w:r w:rsidR="008F4E5D">
        <w:rPr>
          <w:lang w:eastAsia="en-AU" w:bidi="ar-SA"/>
        </w:rPr>
        <w:t xml:space="preserve"> the brewing industry are:</w:t>
      </w:r>
    </w:p>
    <w:p w14:paraId="2AD26B15" w14:textId="10969859" w:rsidR="008F4E5D" w:rsidRDefault="008F4E5D" w:rsidP="008F4E5D">
      <w:pPr>
        <w:pStyle w:val="FSBullet1"/>
        <w:rPr>
          <w:lang w:eastAsia="en-AU"/>
        </w:rPr>
      </w:pPr>
      <w:r>
        <w:rPr>
          <w:lang w:eastAsia="en-AU"/>
        </w:rPr>
        <w:t>increased flexibility in choice of raw materials (i.e. some proportion of non-malted cereals can be used)</w:t>
      </w:r>
    </w:p>
    <w:p w14:paraId="7C5F47F3" w14:textId="6E907357" w:rsidR="008F4E5D" w:rsidRDefault="008F4E5D" w:rsidP="008F4E5D">
      <w:pPr>
        <w:pStyle w:val="FSBullet1"/>
        <w:rPr>
          <w:lang w:eastAsia="en-AU"/>
        </w:rPr>
      </w:pPr>
      <w:r>
        <w:rPr>
          <w:lang w:eastAsia="en-AU"/>
        </w:rPr>
        <w:t>more efficient and more predictable mash separations</w:t>
      </w:r>
    </w:p>
    <w:p w14:paraId="4BFBA464" w14:textId="6D9D05CD" w:rsidR="008F4E5D" w:rsidRDefault="008F4E5D" w:rsidP="008F4E5D">
      <w:pPr>
        <w:pStyle w:val="FSBullet1"/>
        <w:rPr>
          <w:lang w:eastAsia="en-AU"/>
        </w:rPr>
      </w:pPr>
      <w:r>
        <w:rPr>
          <w:lang w:eastAsia="en-AU"/>
        </w:rPr>
        <w:t xml:space="preserve">higher extract yield from the mash </w:t>
      </w:r>
    </w:p>
    <w:p w14:paraId="3BF48B66" w14:textId="1BC881AD" w:rsidR="008F4E5D" w:rsidRDefault="008F4E5D" w:rsidP="008F4E5D">
      <w:pPr>
        <w:pStyle w:val="FSBullet1"/>
        <w:rPr>
          <w:lang w:eastAsia="en-AU"/>
        </w:rPr>
      </w:pPr>
      <w:r>
        <w:rPr>
          <w:lang w:eastAsia="en-AU"/>
        </w:rPr>
        <w:t>potential for higher alcohol yield</w:t>
      </w:r>
    </w:p>
    <w:p w14:paraId="76237A19" w14:textId="520F33E1" w:rsidR="008F4E5D" w:rsidRDefault="008F4E5D" w:rsidP="008F4E5D">
      <w:pPr>
        <w:pStyle w:val="FSBullet1"/>
        <w:rPr>
          <w:lang w:eastAsia="en-AU"/>
        </w:rPr>
      </w:pPr>
      <w:r>
        <w:rPr>
          <w:lang w:eastAsia="en-AU"/>
        </w:rPr>
        <w:t>increase in filtration rate and so less use of filtration aids</w:t>
      </w:r>
    </w:p>
    <w:p w14:paraId="2C460DCA" w14:textId="76568C1A" w:rsidR="008F4E5D" w:rsidRPr="008F4E5D" w:rsidRDefault="008F4E5D" w:rsidP="008F4E5D">
      <w:pPr>
        <w:pStyle w:val="FSBullet1"/>
        <w:rPr>
          <w:lang w:eastAsia="en-AU"/>
        </w:rPr>
      </w:pPr>
      <w:r>
        <w:rPr>
          <w:lang w:eastAsia="en-AU"/>
        </w:rPr>
        <w:t>reduced potential for beer haze to form in the final packaged product</w:t>
      </w:r>
      <w:r w:rsidR="00A151F1">
        <w:rPr>
          <w:lang w:eastAsia="en-AU"/>
        </w:rPr>
        <w:t>.</w:t>
      </w:r>
    </w:p>
    <w:p w14:paraId="3FB2EED1" w14:textId="7A8175BD" w:rsidR="001E6A7B" w:rsidRDefault="001E6A7B" w:rsidP="00BD59CB">
      <w:pPr>
        <w:pStyle w:val="Heading3"/>
      </w:pPr>
      <w:bookmarkStart w:id="14" w:name="_Toc4152926"/>
      <w:r>
        <w:lastRenderedPageBreak/>
        <w:t>2.1.3</w:t>
      </w:r>
      <w:r>
        <w:tab/>
        <w:t>Technological justification of the enzyme</w:t>
      </w:r>
      <w:bookmarkEnd w:id="14"/>
    </w:p>
    <w:p w14:paraId="4862FD29" w14:textId="78764726" w:rsidR="009F05E5" w:rsidRDefault="00D728EC" w:rsidP="00691270">
      <w:pPr>
        <w:rPr>
          <w:lang w:eastAsia="en-AU" w:bidi="ar-SA"/>
        </w:rPr>
      </w:pPr>
      <w:r>
        <w:rPr>
          <w:lang w:eastAsia="en-AU" w:bidi="ar-SA"/>
        </w:rPr>
        <w:t xml:space="preserve">There are a number of permitted triacylglycerol lipase enzymes from different microbial sources listed in Schedule 18 (in the tables to subsections S18—4(5) and 18—9(3)). </w:t>
      </w:r>
      <w:r w:rsidR="000F486C">
        <w:rPr>
          <w:lang w:eastAsia="en-AU" w:bidi="ar-SA"/>
        </w:rPr>
        <w:t xml:space="preserve">The enzymes are listed in Schedule 18 as lipase, triacylglycerol. </w:t>
      </w:r>
      <w:r>
        <w:rPr>
          <w:lang w:eastAsia="en-AU" w:bidi="ar-SA"/>
        </w:rPr>
        <w:t xml:space="preserve">Permitting this enzyme provides </w:t>
      </w:r>
      <w:r w:rsidR="009A686A">
        <w:rPr>
          <w:lang w:eastAsia="en-AU" w:bidi="ar-SA"/>
        </w:rPr>
        <w:t xml:space="preserve">the industries that produce </w:t>
      </w:r>
      <w:r w:rsidR="009F05E5">
        <w:rPr>
          <w:lang w:eastAsia="en-AU" w:bidi="ar-SA"/>
        </w:rPr>
        <w:t>bakery products</w:t>
      </w:r>
      <w:r w:rsidR="004615DD">
        <w:rPr>
          <w:lang w:eastAsia="en-AU" w:bidi="ar-SA"/>
        </w:rPr>
        <w:t>,</w:t>
      </w:r>
      <w:r w:rsidR="009F05E5">
        <w:rPr>
          <w:lang w:eastAsia="en-AU" w:bidi="ar-SA"/>
        </w:rPr>
        <w:t xml:space="preserve"> and </w:t>
      </w:r>
      <w:r w:rsidR="009A686A">
        <w:rPr>
          <w:lang w:eastAsia="en-AU" w:bidi="ar-SA"/>
        </w:rPr>
        <w:t xml:space="preserve">cereal-based </w:t>
      </w:r>
      <w:r w:rsidR="009D38AA">
        <w:rPr>
          <w:lang w:eastAsia="en-AU" w:bidi="ar-SA"/>
        </w:rPr>
        <w:t>beverages and foods</w:t>
      </w:r>
      <w:r w:rsidR="007D3FDB">
        <w:rPr>
          <w:lang w:eastAsia="en-AU" w:bidi="ar-SA"/>
        </w:rPr>
        <w:t xml:space="preserve">, </w:t>
      </w:r>
      <w:r w:rsidR="009F05E5">
        <w:rPr>
          <w:lang w:eastAsia="en-AU" w:bidi="ar-SA"/>
        </w:rPr>
        <w:t xml:space="preserve">particularly </w:t>
      </w:r>
      <w:r w:rsidR="007D3FDB">
        <w:rPr>
          <w:lang w:eastAsia="en-AU" w:bidi="ar-SA"/>
        </w:rPr>
        <w:t>the</w:t>
      </w:r>
      <w:r w:rsidR="009A686A">
        <w:rPr>
          <w:lang w:eastAsia="en-AU" w:bidi="ar-SA"/>
        </w:rPr>
        <w:t xml:space="preserve"> </w:t>
      </w:r>
      <w:r>
        <w:rPr>
          <w:lang w:eastAsia="en-AU" w:bidi="ar-SA"/>
        </w:rPr>
        <w:t>baking and brewing industries</w:t>
      </w:r>
      <w:r w:rsidR="007D3FDB">
        <w:rPr>
          <w:lang w:eastAsia="en-AU" w:bidi="ar-SA"/>
        </w:rPr>
        <w:t>,</w:t>
      </w:r>
      <w:r>
        <w:rPr>
          <w:lang w:eastAsia="en-AU" w:bidi="ar-SA"/>
        </w:rPr>
        <w:t xml:space="preserve"> with an alternative commercial source of the enzyme. </w:t>
      </w:r>
    </w:p>
    <w:p w14:paraId="7025B79D" w14:textId="77777777" w:rsidR="009F05E5" w:rsidRDefault="009F05E5" w:rsidP="00691270">
      <w:pPr>
        <w:rPr>
          <w:lang w:eastAsia="en-AU" w:bidi="ar-SA"/>
        </w:rPr>
      </w:pPr>
    </w:p>
    <w:p w14:paraId="091E96D5" w14:textId="711C1862" w:rsidR="00691270" w:rsidRDefault="00C06EAA" w:rsidP="00691270">
      <w:pPr>
        <w:rPr>
          <w:lang w:eastAsia="en-AU" w:bidi="ar-SA"/>
        </w:rPr>
      </w:pPr>
      <w:r>
        <w:rPr>
          <w:lang w:eastAsia="en-AU" w:bidi="ar-SA"/>
        </w:rPr>
        <w:t>The applicant stated that t</w:t>
      </w:r>
      <w:r w:rsidR="009125DA">
        <w:t xml:space="preserve">he enzyme has </w:t>
      </w:r>
      <w:r w:rsidR="009125DA" w:rsidRPr="00151A17">
        <w:t xml:space="preserve">superior tolerance to mechanical shock during processing compared to </w:t>
      </w:r>
      <w:r w:rsidR="009125DA">
        <w:t xml:space="preserve">the </w:t>
      </w:r>
      <w:r w:rsidR="009125DA" w:rsidRPr="00151A17">
        <w:t>enzyme</w:t>
      </w:r>
      <w:r w:rsidR="009125DA">
        <w:t xml:space="preserve"> from different sources.</w:t>
      </w:r>
      <w:r w:rsidR="009125DA" w:rsidRPr="00151A17">
        <w:t xml:space="preserve"> </w:t>
      </w:r>
      <w:r w:rsidR="009F05E5">
        <w:t xml:space="preserve">Which enzyme preparations that </w:t>
      </w:r>
      <w:r w:rsidR="00D728EC">
        <w:rPr>
          <w:lang w:eastAsia="en-AU" w:bidi="ar-SA"/>
        </w:rPr>
        <w:t xml:space="preserve">companies </w:t>
      </w:r>
      <w:r w:rsidR="009F05E5">
        <w:rPr>
          <w:lang w:eastAsia="en-AU" w:bidi="ar-SA"/>
        </w:rPr>
        <w:t xml:space="preserve">choose to </w:t>
      </w:r>
      <w:r w:rsidR="00D728EC">
        <w:rPr>
          <w:lang w:eastAsia="en-AU" w:bidi="ar-SA"/>
        </w:rPr>
        <w:t>use will depend on a range of commercial considerations including performance in the production of their products in their plants</w:t>
      </w:r>
      <w:r w:rsidR="007D3FDB">
        <w:rPr>
          <w:lang w:eastAsia="en-AU" w:bidi="ar-SA"/>
        </w:rPr>
        <w:t>,</w:t>
      </w:r>
      <w:r w:rsidR="00D728EC">
        <w:rPr>
          <w:lang w:eastAsia="en-AU" w:bidi="ar-SA"/>
        </w:rPr>
        <w:t xml:space="preserve"> and </w:t>
      </w:r>
      <w:r w:rsidR="00A31438">
        <w:rPr>
          <w:lang w:eastAsia="en-AU" w:bidi="ar-SA"/>
        </w:rPr>
        <w:t xml:space="preserve">economic factors. </w:t>
      </w:r>
    </w:p>
    <w:p w14:paraId="2CA89E01" w14:textId="2E7A5C84" w:rsidR="00A31438" w:rsidRDefault="00A31438" w:rsidP="00691270">
      <w:pPr>
        <w:rPr>
          <w:lang w:eastAsia="en-AU" w:bidi="ar-SA"/>
        </w:rPr>
      </w:pPr>
    </w:p>
    <w:p w14:paraId="56CA731C" w14:textId="2724D1BA" w:rsidR="001142BF" w:rsidRDefault="00A31438" w:rsidP="00691270">
      <w:pPr>
        <w:rPr>
          <w:lang w:eastAsia="en-AU" w:bidi="ar-SA"/>
        </w:rPr>
      </w:pPr>
      <w:r>
        <w:rPr>
          <w:lang w:eastAsia="en-AU" w:bidi="ar-SA"/>
        </w:rPr>
        <w:t xml:space="preserve">The benefits of using the enzyme in </w:t>
      </w:r>
      <w:r w:rsidR="007D3FDB">
        <w:rPr>
          <w:lang w:eastAsia="en-AU" w:bidi="ar-SA"/>
        </w:rPr>
        <w:t>the production of bake</w:t>
      </w:r>
      <w:r w:rsidR="009F05E5">
        <w:rPr>
          <w:lang w:eastAsia="en-AU" w:bidi="ar-SA"/>
        </w:rPr>
        <w:t xml:space="preserve">ry products and </w:t>
      </w:r>
      <w:r w:rsidR="007D3FDB">
        <w:rPr>
          <w:lang w:eastAsia="en-AU" w:bidi="ar-SA"/>
        </w:rPr>
        <w:t xml:space="preserve">cereal-based </w:t>
      </w:r>
      <w:r w:rsidR="009D38AA">
        <w:rPr>
          <w:lang w:eastAsia="en-AU" w:bidi="ar-SA"/>
        </w:rPr>
        <w:t>beverages and foods</w:t>
      </w:r>
      <w:r>
        <w:rPr>
          <w:lang w:eastAsia="en-AU" w:bidi="ar-SA"/>
        </w:rPr>
        <w:t xml:space="preserve"> have been detailed in the previous section. The applicant provided details of </w:t>
      </w:r>
      <w:r w:rsidR="00C06EAA">
        <w:rPr>
          <w:lang w:eastAsia="en-AU" w:bidi="ar-SA"/>
        </w:rPr>
        <w:t xml:space="preserve">its own </w:t>
      </w:r>
      <w:r>
        <w:rPr>
          <w:lang w:eastAsia="en-AU" w:bidi="ar-SA"/>
        </w:rPr>
        <w:t xml:space="preserve">studies supporting its claim that use of the enzyme does achieve these benefits. </w:t>
      </w:r>
    </w:p>
    <w:p w14:paraId="48E33E24" w14:textId="77777777" w:rsidR="001142BF" w:rsidRDefault="001142BF" w:rsidP="00691270">
      <w:pPr>
        <w:rPr>
          <w:lang w:eastAsia="en-AU" w:bidi="ar-SA"/>
        </w:rPr>
      </w:pPr>
    </w:p>
    <w:p w14:paraId="273BF9A3" w14:textId="45393D31" w:rsidR="00A31438" w:rsidRDefault="00A31438" w:rsidP="00691270">
      <w:pPr>
        <w:rPr>
          <w:lang w:eastAsia="en-AU" w:bidi="ar-SA"/>
        </w:rPr>
      </w:pPr>
      <w:r>
        <w:rPr>
          <w:lang w:eastAsia="en-AU" w:bidi="ar-SA"/>
        </w:rPr>
        <w:t xml:space="preserve">In the </w:t>
      </w:r>
      <w:r w:rsidR="007D3FDB">
        <w:rPr>
          <w:lang w:eastAsia="en-AU" w:bidi="ar-SA"/>
        </w:rPr>
        <w:t xml:space="preserve">production of </w:t>
      </w:r>
      <w:r w:rsidR="009F05E5">
        <w:rPr>
          <w:lang w:eastAsia="en-AU" w:bidi="ar-SA"/>
        </w:rPr>
        <w:t>bakery products,</w:t>
      </w:r>
      <w:r>
        <w:rPr>
          <w:lang w:eastAsia="en-AU" w:bidi="ar-SA"/>
        </w:rPr>
        <w:t xml:space="preserve"> the enzyme contributes to improved dough stability and handling properties. In practical terms</w:t>
      </w:r>
      <w:r w:rsidR="009F05E5">
        <w:rPr>
          <w:lang w:eastAsia="en-AU" w:bidi="ar-SA"/>
        </w:rPr>
        <w:t>,</w:t>
      </w:r>
      <w:r>
        <w:rPr>
          <w:lang w:eastAsia="en-AU" w:bidi="ar-SA"/>
        </w:rPr>
        <w:t xml:space="preserve"> for bread baking it increases the loaf volume and the softness and softness retention with shelf life of the loaf. For the production of steamed buns</w:t>
      </w:r>
      <w:r w:rsidR="00013C80">
        <w:rPr>
          <w:lang w:eastAsia="en-AU" w:bidi="ar-SA"/>
        </w:rPr>
        <w:t>,</w:t>
      </w:r>
      <w:r>
        <w:rPr>
          <w:lang w:eastAsia="en-AU" w:bidi="ar-SA"/>
        </w:rPr>
        <w:t xml:space="preserve"> use of the enzyme improve</w:t>
      </w:r>
      <w:r w:rsidR="00BF56A2">
        <w:rPr>
          <w:lang w:eastAsia="en-AU" w:bidi="ar-SA"/>
        </w:rPr>
        <w:t>s</w:t>
      </w:r>
      <w:r>
        <w:rPr>
          <w:lang w:eastAsia="en-AU" w:bidi="ar-SA"/>
        </w:rPr>
        <w:t xml:space="preserve"> the appearance (whiteness, shine and smoothness) </w:t>
      </w:r>
      <w:r w:rsidR="00C907FA">
        <w:rPr>
          <w:lang w:eastAsia="en-AU" w:bidi="ar-SA"/>
        </w:rPr>
        <w:t xml:space="preserve">as determined by </w:t>
      </w:r>
      <w:r w:rsidR="001142BF">
        <w:rPr>
          <w:lang w:eastAsia="en-AU" w:bidi="ar-SA"/>
        </w:rPr>
        <w:t xml:space="preserve">sensory evaluation. The bun size </w:t>
      </w:r>
      <w:r w:rsidR="00BF56A2">
        <w:rPr>
          <w:lang w:eastAsia="en-AU" w:bidi="ar-SA"/>
        </w:rPr>
        <w:t>i</w:t>
      </w:r>
      <w:r w:rsidR="001142BF">
        <w:rPr>
          <w:lang w:eastAsia="en-AU" w:bidi="ar-SA"/>
        </w:rPr>
        <w:t xml:space="preserve">s also increased compared to the control that did not use the enzyme. </w:t>
      </w:r>
    </w:p>
    <w:p w14:paraId="0B349FA1" w14:textId="1B339D3D" w:rsidR="001142BF" w:rsidRDefault="001142BF" w:rsidP="00691270">
      <w:pPr>
        <w:rPr>
          <w:lang w:eastAsia="en-AU" w:bidi="ar-SA"/>
        </w:rPr>
      </w:pPr>
    </w:p>
    <w:p w14:paraId="2623DCF7" w14:textId="652ACB2C" w:rsidR="001142BF" w:rsidRDefault="00C907FA" w:rsidP="00691270">
      <w:pPr>
        <w:rPr>
          <w:lang w:eastAsia="en-AU" w:bidi="ar-SA"/>
        </w:rPr>
      </w:pPr>
      <w:r>
        <w:rPr>
          <w:lang w:eastAsia="en-AU" w:bidi="ar-SA"/>
        </w:rPr>
        <w:t>T</w:t>
      </w:r>
      <w:r w:rsidR="001142BF">
        <w:rPr>
          <w:lang w:eastAsia="en-AU" w:bidi="ar-SA"/>
        </w:rPr>
        <w:t xml:space="preserve">he </w:t>
      </w:r>
      <w:r w:rsidR="0020615A">
        <w:rPr>
          <w:lang w:eastAsia="en-AU" w:bidi="ar-SA"/>
        </w:rPr>
        <w:t xml:space="preserve">use of triacylglycerol lipase </w:t>
      </w:r>
      <w:r>
        <w:rPr>
          <w:lang w:eastAsia="en-AU" w:bidi="ar-SA"/>
        </w:rPr>
        <w:t xml:space="preserve">in place of </w:t>
      </w:r>
      <w:r w:rsidR="00013C80">
        <w:rPr>
          <w:lang w:eastAsia="en-AU" w:bidi="ar-SA"/>
        </w:rPr>
        <w:t>an</w:t>
      </w:r>
      <w:r w:rsidR="0020615A">
        <w:rPr>
          <w:lang w:eastAsia="en-AU" w:bidi="ar-SA"/>
        </w:rPr>
        <w:t xml:space="preserve"> enzyme mixture </w:t>
      </w:r>
      <w:r w:rsidR="00361F92">
        <w:rPr>
          <w:lang w:eastAsia="en-AU" w:bidi="ar-SA"/>
        </w:rPr>
        <w:t xml:space="preserve">currently </w:t>
      </w:r>
      <w:r w:rsidR="00013C80">
        <w:rPr>
          <w:lang w:eastAsia="en-AU" w:bidi="ar-SA"/>
        </w:rPr>
        <w:t>in use</w:t>
      </w:r>
      <w:r w:rsidR="0020615A">
        <w:rPr>
          <w:lang w:eastAsia="en-AU" w:bidi="ar-SA"/>
        </w:rPr>
        <w:t xml:space="preserve"> (amylase, xylanase, glucanase, protease and pullulanase) for </w:t>
      </w:r>
      <w:r w:rsidR="007D3FDB">
        <w:rPr>
          <w:lang w:eastAsia="en-AU" w:bidi="ar-SA"/>
        </w:rPr>
        <w:t>wort production</w:t>
      </w:r>
      <w:r w:rsidR="0020615A">
        <w:rPr>
          <w:lang w:eastAsia="en-AU" w:bidi="ar-SA"/>
        </w:rPr>
        <w:t xml:space="preserve"> with </w:t>
      </w:r>
      <w:r w:rsidR="00361F92">
        <w:rPr>
          <w:lang w:eastAsia="en-AU" w:bidi="ar-SA"/>
        </w:rPr>
        <w:t xml:space="preserve">a </w:t>
      </w:r>
      <w:r w:rsidR="0020615A">
        <w:rPr>
          <w:lang w:eastAsia="en-AU" w:bidi="ar-SA"/>
        </w:rPr>
        <w:t xml:space="preserve">high proportion of non-malted barley provides </w:t>
      </w:r>
      <w:r w:rsidR="00C06EAA">
        <w:rPr>
          <w:lang w:eastAsia="en-AU" w:bidi="ar-SA"/>
        </w:rPr>
        <w:t xml:space="preserve">excellent </w:t>
      </w:r>
      <w:r w:rsidR="0020615A">
        <w:rPr>
          <w:lang w:eastAsia="en-AU" w:bidi="ar-SA"/>
        </w:rPr>
        <w:t>functionality</w:t>
      </w:r>
      <w:r w:rsidR="00013C80">
        <w:rPr>
          <w:lang w:eastAsia="en-AU" w:bidi="ar-SA"/>
        </w:rPr>
        <w:t>,</w:t>
      </w:r>
      <w:r w:rsidR="0020615A">
        <w:rPr>
          <w:lang w:eastAsia="en-AU" w:bidi="ar-SA"/>
        </w:rPr>
        <w:t xml:space="preserve"> even up to 100% barley compared to 80% barley</w:t>
      </w:r>
      <w:r w:rsidR="00C36FC0">
        <w:rPr>
          <w:lang w:eastAsia="en-AU" w:bidi="ar-SA"/>
        </w:rPr>
        <w:t xml:space="preserve"> without the addition of triacylglycerol lipase. For 100% barley</w:t>
      </w:r>
      <w:r w:rsidR="00CD718F">
        <w:rPr>
          <w:lang w:eastAsia="en-AU" w:bidi="ar-SA"/>
        </w:rPr>
        <w:t xml:space="preserve"> mashing</w:t>
      </w:r>
      <w:r w:rsidR="00361F92">
        <w:rPr>
          <w:lang w:eastAsia="en-AU" w:bidi="ar-SA"/>
        </w:rPr>
        <w:t>,</w:t>
      </w:r>
      <w:r w:rsidR="00C36FC0">
        <w:rPr>
          <w:lang w:eastAsia="en-AU" w:bidi="ar-SA"/>
        </w:rPr>
        <w:t xml:space="preserve"> the addition of this enzyme to the exi</w:t>
      </w:r>
      <w:r w:rsidR="00BF56A2">
        <w:rPr>
          <w:lang w:eastAsia="en-AU" w:bidi="ar-SA"/>
        </w:rPr>
        <w:t>s</w:t>
      </w:r>
      <w:r w:rsidR="00C36FC0">
        <w:rPr>
          <w:lang w:eastAsia="en-AU" w:bidi="ar-SA"/>
        </w:rPr>
        <w:t xml:space="preserve">ting enzyme mixture for the mash separation improves the wort filtration as well as the clarity of the wort. </w:t>
      </w:r>
      <w:r w:rsidR="004B35A6">
        <w:rPr>
          <w:lang w:eastAsia="en-AU" w:bidi="ar-SA"/>
        </w:rPr>
        <w:t xml:space="preserve">An </w:t>
      </w:r>
      <w:r w:rsidR="00C36FC0">
        <w:rPr>
          <w:lang w:eastAsia="en-AU" w:bidi="ar-SA"/>
        </w:rPr>
        <w:t>increased filtration rate is noted after 5 minutes</w:t>
      </w:r>
      <w:r w:rsidR="004B35A6">
        <w:rPr>
          <w:lang w:eastAsia="en-AU" w:bidi="ar-SA"/>
        </w:rPr>
        <w:t>,</w:t>
      </w:r>
      <w:r w:rsidR="00C36FC0">
        <w:rPr>
          <w:lang w:eastAsia="en-AU" w:bidi="ar-SA"/>
        </w:rPr>
        <w:t xml:space="preserve"> while filtrate volume is approximately double the control after 30 minutes. </w:t>
      </w:r>
    </w:p>
    <w:p w14:paraId="727B592E" w14:textId="5C702D72" w:rsidR="00C36FC0" w:rsidRDefault="00C36FC0" w:rsidP="00691270">
      <w:pPr>
        <w:rPr>
          <w:lang w:eastAsia="en-AU" w:bidi="ar-SA"/>
        </w:rPr>
      </w:pPr>
    </w:p>
    <w:p w14:paraId="568C45DB" w14:textId="2B7A24EB" w:rsidR="00C36FC0" w:rsidRDefault="00C36FC0" w:rsidP="00691270">
      <w:pPr>
        <w:rPr>
          <w:lang w:eastAsia="en-AU" w:bidi="ar-SA"/>
        </w:rPr>
      </w:pPr>
      <w:r>
        <w:rPr>
          <w:lang w:eastAsia="en-AU" w:bidi="ar-SA"/>
        </w:rPr>
        <w:t xml:space="preserve">For 100% barley </w:t>
      </w:r>
      <w:r w:rsidR="00CD718F">
        <w:rPr>
          <w:lang w:eastAsia="en-AU" w:bidi="ar-SA"/>
        </w:rPr>
        <w:t>mashing</w:t>
      </w:r>
      <w:r w:rsidR="00361F92">
        <w:rPr>
          <w:lang w:eastAsia="en-AU" w:bidi="ar-SA"/>
        </w:rPr>
        <w:t>,</w:t>
      </w:r>
      <w:r>
        <w:rPr>
          <w:lang w:eastAsia="en-AU" w:bidi="ar-SA"/>
        </w:rPr>
        <w:t xml:space="preserve"> the extract after mashing is also improved when the enzyme is added</w:t>
      </w:r>
      <w:r w:rsidR="00013C80">
        <w:rPr>
          <w:lang w:eastAsia="en-AU" w:bidi="ar-SA"/>
        </w:rPr>
        <w:t>,</w:t>
      </w:r>
      <w:r>
        <w:rPr>
          <w:lang w:eastAsia="en-AU" w:bidi="ar-SA"/>
        </w:rPr>
        <w:t xml:space="preserve"> </w:t>
      </w:r>
      <w:r w:rsidR="00361F92">
        <w:rPr>
          <w:lang w:eastAsia="en-AU" w:bidi="ar-SA"/>
        </w:rPr>
        <w:t xml:space="preserve">compared </w:t>
      </w:r>
      <w:r>
        <w:rPr>
          <w:lang w:eastAsia="en-AU" w:bidi="ar-SA"/>
        </w:rPr>
        <w:t xml:space="preserve">to the control enzyme mixture. This is </w:t>
      </w:r>
      <w:r w:rsidR="004B35A6">
        <w:rPr>
          <w:lang w:eastAsia="en-AU" w:bidi="ar-SA"/>
        </w:rPr>
        <w:t xml:space="preserve">demonstrated </w:t>
      </w:r>
      <w:r>
        <w:rPr>
          <w:lang w:eastAsia="en-AU" w:bidi="ar-SA"/>
        </w:rPr>
        <w:t xml:space="preserve">by the analysis of the produced wort, with an increase in </w:t>
      </w:r>
      <w:r w:rsidR="004B35A6">
        <w:rPr>
          <w:lang w:eastAsia="en-AU" w:bidi="ar-SA"/>
        </w:rPr>
        <w:t>extractable sugars</w:t>
      </w:r>
      <w:r>
        <w:rPr>
          <w:lang w:eastAsia="en-AU" w:bidi="ar-SA"/>
        </w:rPr>
        <w:t>.</w:t>
      </w:r>
    </w:p>
    <w:p w14:paraId="1FA0B211" w14:textId="2C588BC6" w:rsidR="005058EC" w:rsidRDefault="005058EC" w:rsidP="00691270">
      <w:pPr>
        <w:rPr>
          <w:lang w:eastAsia="en-AU" w:bidi="ar-SA"/>
        </w:rPr>
      </w:pPr>
    </w:p>
    <w:p w14:paraId="5BF6F4E2" w14:textId="1D494C6F" w:rsidR="005058EC" w:rsidRDefault="005058EC" w:rsidP="00691270">
      <w:pPr>
        <w:rPr>
          <w:lang w:eastAsia="en-AU" w:bidi="ar-SA"/>
        </w:rPr>
      </w:pPr>
      <w:r>
        <w:rPr>
          <w:lang w:eastAsia="en-AU" w:bidi="ar-SA"/>
        </w:rPr>
        <w:t xml:space="preserve">The enzyme is denatured when used </w:t>
      </w:r>
      <w:r w:rsidR="00095BFD">
        <w:rPr>
          <w:lang w:eastAsia="en-AU" w:bidi="ar-SA"/>
        </w:rPr>
        <w:t xml:space="preserve">as a processing aid </w:t>
      </w:r>
      <w:r>
        <w:rPr>
          <w:lang w:eastAsia="en-AU" w:bidi="ar-SA"/>
        </w:rPr>
        <w:t>in</w:t>
      </w:r>
      <w:r w:rsidR="00A45A25">
        <w:rPr>
          <w:lang w:eastAsia="en-AU" w:bidi="ar-SA"/>
        </w:rPr>
        <w:t xml:space="preserve"> the baking industries and in the production of wort. The wort is boiled after the enzyme has performed its technological purpose so denaturing the enzyme</w:t>
      </w:r>
      <w:r w:rsidR="00047F60">
        <w:rPr>
          <w:lang w:eastAsia="en-AU" w:bidi="ar-SA"/>
        </w:rPr>
        <w:t xml:space="preserve">. When </w:t>
      </w:r>
      <w:r w:rsidR="00095BFD">
        <w:rPr>
          <w:lang w:eastAsia="en-AU" w:bidi="ar-SA"/>
        </w:rPr>
        <w:t xml:space="preserve">used </w:t>
      </w:r>
      <w:r w:rsidR="00047F60">
        <w:rPr>
          <w:lang w:eastAsia="en-AU" w:bidi="ar-SA"/>
        </w:rPr>
        <w:t xml:space="preserve">in </w:t>
      </w:r>
      <w:r w:rsidR="00095BFD">
        <w:rPr>
          <w:lang w:eastAsia="en-AU" w:bidi="ar-SA"/>
        </w:rPr>
        <w:t>baking</w:t>
      </w:r>
      <w:r w:rsidR="00047F60">
        <w:rPr>
          <w:lang w:eastAsia="en-AU" w:bidi="ar-SA"/>
        </w:rPr>
        <w:t xml:space="preserve">, </w:t>
      </w:r>
      <w:r w:rsidR="00095BFD">
        <w:rPr>
          <w:lang w:eastAsia="en-AU" w:bidi="ar-SA"/>
        </w:rPr>
        <w:t xml:space="preserve">it </w:t>
      </w:r>
      <w:r w:rsidR="00047F60">
        <w:rPr>
          <w:lang w:eastAsia="en-AU" w:bidi="ar-SA"/>
        </w:rPr>
        <w:t xml:space="preserve">is </w:t>
      </w:r>
      <w:r w:rsidR="00095BFD">
        <w:rPr>
          <w:lang w:eastAsia="en-AU" w:bidi="ar-SA"/>
        </w:rPr>
        <w:t>denatured due to the heat</w:t>
      </w:r>
      <w:r w:rsidR="00A45A25">
        <w:rPr>
          <w:lang w:eastAsia="en-AU" w:bidi="ar-SA"/>
        </w:rPr>
        <w:t xml:space="preserve">ing step used in baking. </w:t>
      </w:r>
    </w:p>
    <w:p w14:paraId="1B6435E5" w14:textId="77777777" w:rsidR="001E6A7B" w:rsidRDefault="001E6A7B" w:rsidP="00BD59CB">
      <w:pPr>
        <w:pStyle w:val="Heading2"/>
      </w:pPr>
      <w:bookmarkStart w:id="15" w:name="_Toc4152927"/>
      <w:r>
        <w:t>2.2</w:t>
      </w:r>
      <w:r>
        <w:tab/>
        <w:t>Manufacturing process</w:t>
      </w:r>
      <w:bookmarkEnd w:id="15"/>
    </w:p>
    <w:p w14:paraId="6E74515A" w14:textId="2E1A78A3" w:rsidR="001E6A7B" w:rsidRDefault="0035149D" w:rsidP="00BD59CB">
      <w:pPr>
        <w:pStyle w:val="Heading3"/>
      </w:pPr>
      <w:bookmarkStart w:id="16" w:name="_Toc4152928"/>
      <w:r>
        <w:t>2.2.1</w:t>
      </w:r>
      <w:r>
        <w:tab/>
        <w:t>P</w:t>
      </w:r>
      <w:r w:rsidR="001E6A7B">
        <w:t>roduction of the enzyme</w:t>
      </w:r>
      <w:bookmarkEnd w:id="16"/>
    </w:p>
    <w:p w14:paraId="6E156AFE" w14:textId="403BC169"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manufacturing process is composed of a fermentation process, a purification process, a formulation process and finally quality control of the finished product</w:t>
      </w:r>
      <w:r w:rsidR="00AC4E77">
        <w:rPr>
          <w:rFonts w:ascii="CIDFont+F1" w:eastAsia="Calibri" w:hAnsi="CIDFont+F1" w:cs="CIDFont+F1"/>
          <w:szCs w:val="22"/>
          <w:lang w:bidi="ar-SA"/>
        </w:rPr>
        <w:t xml:space="preserve"> (see Figure </w:t>
      </w:r>
      <w:r w:rsidR="008E1765">
        <w:rPr>
          <w:rFonts w:ascii="CIDFont+F1" w:eastAsia="Calibri" w:hAnsi="CIDFont+F1" w:cs="CIDFont+F1"/>
          <w:szCs w:val="22"/>
          <w:lang w:bidi="ar-SA"/>
        </w:rPr>
        <w:t>2</w:t>
      </w:r>
      <w:r w:rsidR="00AC4E77">
        <w:rPr>
          <w:rFonts w:ascii="CIDFont+F1" w:eastAsia="Calibri" w:hAnsi="CIDFont+F1" w:cs="CIDFont+F1"/>
          <w:szCs w:val="22"/>
          <w:lang w:bidi="ar-SA"/>
        </w:rPr>
        <w:t>)</w:t>
      </w:r>
      <w:r w:rsidRPr="00691270">
        <w:rPr>
          <w:rFonts w:ascii="CIDFont+F1" w:eastAsia="Calibri" w:hAnsi="CIDFont+F1" w:cs="CIDFont+F1"/>
          <w:szCs w:val="22"/>
          <w:lang w:bidi="ar-SA"/>
        </w:rPr>
        <w:t xml:space="preserve">. </w:t>
      </w:r>
    </w:p>
    <w:p w14:paraId="7A931FCB" w14:textId="77777777" w:rsidR="00047F60" w:rsidRPr="00691270" w:rsidRDefault="00047F60" w:rsidP="00691270">
      <w:pPr>
        <w:widowControl/>
        <w:autoSpaceDE w:val="0"/>
        <w:autoSpaceDN w:val="0"/>
        <w:adjustRightInd w:val="0"/>
        <w:rPr>
          <w:lang w:eastAsia="en-AU"/>
        </w:rPr>
      </w:pPr>
    </w:p>
    <w:p w14:paraId="61AE8BA4"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Fermentation</w:t>
      </w:r>
    </w:p>
    <w:p w14:paraId="002FEDFF" w14:textId="38EFB073"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w:t>
      </w:r>
      <w:r w:rsidR="00AC4E77">
        <w:rPr>
          <w:rFonts w:ascii="CIDFont+F1" w:eastAsia="Calibri" w:hAnsi="CIDFont+F1" w:cs="CIDFont+F1"/>
          <w:szCs w:val="22"/>
          <w:lang w:bidi="ar-SA"/>
        </w:rPr>
        <w:t>triacylglycerol lipase</w:t>
      </w:r>
      <w:r w:rsidRPr="00691270">
        <w:rPr>
          <w:rFonts w:ascii="CIDFont+F1" w:eastAsia="Calibri" w:hAnsi="CIDFont+F1" w:cs="CIDFont+F1"/>
          <w:szCs w:val="22"/>
          <w:lang w:bidi="ar-SA"/>
        </w:rPr>
        <w:t xml:space="preserve"> preparation is produced by submerged fed-batch pure culture fermentation of the </w:t>
      </w:r>
      <w:r w:rsidR="00BF56A2">
        <w:rPr>
          <w:rFonts w:ascii="CIDFont+F1" w:eastAsia="Calibri" w:hAnsi="CIDFont+F1" w:cs="CIDFont+F1"/>
          <w:szCs w:val="22"/>
          <w:lang w:bidi="ar-SA"/>
        </w:rPr>
        <w:t>GM</w:t>
      </w:r>
      <w:r w:rsidRPr="00691270">
        <w:rPr>
          <w:rFonts w:ascii="CIDFont+F1" w:eastAsia="Calibri" w:hAnsi="CIDFont+F1" w:cs="CIDFont+F1"/>
          <w:szCs w:val="22"/>
          <w:lang w:bidi="ar-SA"/>
        </w:rPr>
        <w:t xml:space="preserve"> </w:t>
      </w:r>
      <w:r w:rsidR="00AC4E77">
        <w:rPr>
          <w:rFonts w:ascii="CIDFont+F1" w:eastAsia="Calibri" w:hAnsi="CIDFont+F1" w:cs="CIDFont+F1"/>
          <w:i/>
          <w:szCs w:val="22"/>
          <w:lang w:bidi="ar-SA"/>
        </w:rPr>
        <w:t>T. reesei</w:t>
      </w:r>
      <w:r w:rsidRPr="00691270">
        <w:rPr>
          <w:rFonts w:ascii="CIDFont+F1" w:eastAsia="Calibri" w:hAnsi="CIDFont+F1" w:cs="CIDFont+F1"/>
          <w:szCs w:val="22"/>
          <w:lang w:bidi="ar-SA"/>
        </w:rPr>
        <w:t>. This process is commonly used for the production of food-grade enzymes.</w:t>
      </w:r>
    </w:p>
    <w:p w14:paraId="49C9F3D4"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39BDB97" w14:textId="5F5916DB"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fermentation process involves three steps, </w:t>
      </w:r>
      <w:r w:rsidR="00AC4E77">
        <w:rPr>
          <w:rFonts w:ascii="CIDFont+F1" w:eastAsia="Calibri" w:hAnsi="CIDFont+F1" w:cs="CIDFont+F1"/>
          <w:szCs w:val="22"/>
          <w:lang w:bidi="ar-SA"/>
        </w:rPr>
        <w:t>laboratory propagation of the culture (inoculation)</w:t>
      </w:r>
      <w:r w:rsidRPr="00691270">
        <w:rPr>
          <w:rFonts w:ascii="CIDFont+F1" w:eastAsia="Calibri" w:hAnsi="CIDFont+F1" w:cs="CIDFont+F1"/>
          <w:szCs w:val="22"/>
          <w:lang w:bidi="ar-SA"/>
        </w:rPr>
        <w:t>, seed fermentation and main fermentation.</w:t>
      </w:r>
    </w:p>
    <w:p w14:paraId="6D44145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7CCF0F8"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Recovery</w:t>
      </w:r>
    </w:p>
    <w:p w14:paraId="3C45501B" w14:textId="4D00F3B3"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recovery process is a multi-step operation designed to separate the enzyme from the microbial biomass and purify, concentrate, stabilise </w:t>
      </w:r>
      <w:r w:rsidR="00AC4E77">
        <w:rPr>
          <w:rFonts w:ascii="CIDFont+F1" w:eastAsia="Calibri" w:hAnsi="CIDFont+F1" w:cs="CIDFont+F1"/>
          <w:szCs w:val="22"/>
          <w:lang w:bidi="ar-SA"/>
        </w:rPr>
        <w:t xml:space="preserve">and standardise </w:t>
      </w:r>
      <w:r w:rsidRPr="00691270">
        <w:rPr>
          <w:rFonts w:ascii="CIDFont+F1" w:eastAsia="Calibri" w:hAnsi="CIDFont+F1" w:cs="CIDFont+F1"/>
          <w:szCs w:val="22"/>
          <w:lang w:bidi="ar-SA"/>
        </w:rPr>
        <w:t>the food enzyme</w:t>
      </w:r>
      <w:r w:rsidR="00AC4E77">
        <w:rPr>
          <w:rFonts w:ascii="CIDFont+F1" w:eastAsia="Calibri" w:hAnsi="CIDFont+F1" w:cs="CIDFont+F1"/>
          <w:szCs w:val="22"/>
          <w:lang w:bidi="ar-SA"/>
        </w:rPr>
        <w:t xml:space="preserve"> preparation</w:t>
      </w:r>
      <w:r w:rsidRPr="00691270">
        <w:rPr>
          <w:rFonts w:ascii="CIDFont+F1" w:eastAsia="Calibri" w:hAnsi="CIDFont+F1" w:cs="CIDFont+F1"/>
          <w:szCs w:val="22"/>
          <w:lang w:bidi="ar-SA"/>
        </w:rPr>
        <w:t xml:space="preserve">. </w:t>
      </w:r>
    </w:p>
    <w:p w14:paraId="4A1EF8D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F13A18B" w14:textId="7E1542EE" w:rsidR="00691270" w:rsidRPr="00691270" w:rsidRDefault="00BD59CB" w:rsidP="00691270">
      <w:pPr>
        <w:ind w:left="567"/>
      </w:pPr>
      <w:r w:rsidRPr="004F0D63">
        <w:rPr>
          <w:noProof/>
          <w:color w:val="CC66FF"/>
          <w:lang w:eastAsia="en-GB" w:bidi="ar-SA"/>
        </w:rPr>
        <w:drawing>
          <wp:inline distT="0" distB="0" distL="0" distR="0" wp14:anchorId="10B59070" wp14:editId="6E1C6411">
            <wp:extent cx="5486400" cy="3200400"/>
            <wp:effectExtent l="76200" t="0" r="952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p>
    <w:p w14:paraId="6F293346" w14:textId="18736D23" w:rsidR="00691270" w:rsidRPr="00691270" w:rsidRDefault="00691270" w:rsidP="00691270">
      <w:pPr>
        <w:ind w:left="567"/>
      </w:pPr>
      <w:r w:rsidRPr="00691270">
        <w:rPr>
          <w:b/>
          <w:i/>
          <w:lang w:eastAsia="en-AU"/>
        </w:rPr>
        <w:t xml:space="preserve">Figure </w:t>
      </w:r>
      <w:r w:rsidR="008E1765">
        <w:rPr>
          <w:b/>
          <w:i/>
          <w:lang w:eastAsia="en-AU"/>
        </w:rPr>
        <w:t>2</w:t>
      </w:r>
      <w:r w:rsidRPr="00691270">
        <w:rPr>
          <w:b/>
          <w:i/>
          <w:lang w:eastAsia="en-AU"/>
        </w:rPr>
        <w:t>:</w:t>
      </w:r>
      <w:r w:rsidRPr="00691270">
        <w:rPr>
          <w:i/>
          <w:lang w:eastAsia="en-AU"/>
        </w:rPr>
        <w:t xml:space="preserve"> </w:t>
      </w:r>
      <w:r w:rsidRPr="000B5751">
        <w:rPr>
          <w:i/>
          <w:lang w:eastAsia="en-AU"/>
        </w:rPr>
        <w:t xml:space="preserve">Manufacturing process for </w:t>
      </w:r>
      <w:r w:rsidR="00AC4E77">
        <w:rPr>
          <w:i/>
          <w:lang w:eastAsia="en-AU"/>
        </w:rPr>
        <w:t>triacylglycerol lipase</w:t>
      </w:r>
      <w:r w:rsidRPr="000B5751">
        <w:rPr>
          <w:i/>
          <w:lang w:eastAsia="en-AU"/>
        </w:rPr>
        <w:t xml:space="preserve"> preparation</w:t>
      </w:r>
    </w:p>
    <w:p w14:paraId="2E77E9C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95179C6" w14:textId="3682F436"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preparation is manufactured in accordance with current Good Manufacturing Practices (cGMP).</w:t>
      </w:r>
    </w:p>
    <w:p w14:paraId="55B9770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717EFB4" w14:textId="156F0893" w:rsidR="00691270" w:rsidRPr="00691270" w:rsidRDefault="00691270" w:rsidP="00691270">
      <w:pPr>
        <w:rPr>
          <w:lang w:eastAsia="en-AU" w:bidi="ar-SA"/>
        </w:rPr>
      </w:pPr>
      <w:r w:rsidRPr="00691270">
        <w:rPr>
          <w:lang w:eastAsia="en-AU" w:bidi="ar-SA"/>
        </w:rPr>
        <w:t>The manufacturing process is such that the production microorganism,</w:t>
      </w:r>
      <w:r w:rsidR="00BF56A2">
        <w:rPr>
          <w:lang w:eastAsia="en-AU" w:bidi="ar-SA"/>
        </w:rPr>
        <w:t xml:space="preserve"> GM</w:t>
      </w:r>
      <w:r w:rsidRPr="00691270">
        <w:rPr>
          <w:lang w:eastAsia="en-AU" w:bidi="ar-SA"/>
        </w:rPr>
        <w:t xml:space="preserve"> </w:t>
      </w:r>
      <w:r w:rsidR="00AC4E77">
        <w:rPr>
          <w:i/>
          <w:lang w:eastAsia="en-AU" w:bidi="ar-SA"/>
        </w:rPr>
        <w:t>T. reesei</w:t>
      </w:r>
      <w:r w:rsidRPr="00691270">
        <w:rPr>
          <w:lang w:eastAsia="en-AU" w:bidi="ar-SA"/>
        </w:rPr>
        <w:t xml:space="preserve">, is removed during processing and is </w:t>
      </w:r>
      <w:r w:rsidR="00ED37FC">
        <w:rPr>
          <w:lang w:eastAsia="en-AU" w:bidi="ar-SA"/>
        </w:rPr>
        <w:t xml:space="preserve">not detected in </w:t>
      </w:r>
      <w:r w:rsidRPr="00691270">
        <w:rPr>
          <w:lang w:eastAsia="en-AU" w:bidi="ar-SA"/>
        </w:rPr>
        <w:t>the commercial enzyme preparation.</w:t>
      </w:r>
    </w:p>
    <w:p w14:paraId="7C53B403"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22DDF50" w14:textId="2CCE62C6"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enzyme is standardised to ensure consistent enzyme activity and produced </w:t>
      </w:r>
      <w:r w:rsidR="00AA633F">
        <w:rPr>
          <w:rFonts w:ascii="CIDFont+F1" w:eastAsia="Calibri" w:hAnsi="CIDFont+F1" w:cs="CIDFont+F1"/>
          <w:szCs w:val="22"/>
          <w:lang w:bidi="ar-SA"/>
        </w:rPr>
        <w:t>either as a liquid or a powder</w:t>
      </w:r>
      <w:r w:rsidR="00047F60">
        <w:rPr>
          <w:rFonts w:ascii="CIDFont+F1" w:eastAsia="Calibri" w:hAnsi="CIDFont+F1" w:cs="CIDFont+F1"/>
          <w:szCs w:val="22"/>
          <w:lang w:bidi="ar-SA"/>
        </w:rPr>
        <w:t>,</w:t>
      </w:r>
      <w:r w:rsidR="00AA633F">
        <w:rPr>
          <w:rFonts w:ascii="CIDFont+F1" w:eastAsia="Calibri" w:hAnsi="CIDFont+F1" w:cs="CIDFont+F1"/>
          <w:szCs w:val="22"/>
          <w:lang w:bidi="ar-SA"/>
        </w:rPr>
        <w:t xml:space="preserve"> depending on how the enzyme preparation will be used. </w:t>
      </w:r>
    </w:p>
    <w:p w14:paraId="0D830194" w14:textId="042CE3A5" w:rsidR="001E6A7B" w:rsidRDefault="001E6A7B" w:rsidP="00BD59CB">
      <w:pPr>
        <w:pStyle w:val="Heading3"/>
      </w:pPr>
      <w:bookmarkStart w:id="17" w:name="_Toc4152929"/>
      <w:r>
        <w:t>2.2.2</w:t>
      </w:r>
      <w:r w:rsidR="0035149D">
        <w:tab/>
      </w:r>
      <w:r>
        <w:t>Specifications</w:t>
      </w:r>
      <w:bookmarkEnd w:id="17"/>
    </w:p>
    <w:p w14:paraId="161CB1EA" w14:textId="10AF3642" w:rsidR="00FA2DEB" w:rsidRPr="00691270" w:rsidRDefault="00FA2DEB" w:rsidP="00FA2DEB">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There are international specifications for enzyme preparations used in food production. These have been established by the Joint FAO/WHO Expert Committe</w:t>
      </w:r>
      <w:r w:rsidR="00047F60">
        <w:rPr>
          <w:rFonts w:ascii="CIDFont+F1" w:eastAsia="Calibri" w:hAnsi="CIDFont+F1" w:cs="CIDFont+F1"/>
          <w:szCs w:val="22"/>
          <w:lang w:bidi="ar-SA"/>
        </w:rPr>
        <w:t>e on Food Additives (JECFA, 2017</w:t>
      </w:r>
      <w:r w:rsidRPr="00691270">
        <w:rPr>
          <w:rFonts w:ascii="CIDFont+F1" w:eastAsia="Calibri" w:hAnsi="CIDFont+F1" w:cs="CIDFont+F1"/>
          <w:szCs w:val="22"/>
          <w:lang w:bidi="ar-SA"/>
        </w:rPr>
        <w:t>) and the Food Chemicals Codex (FCC) (USP, 201</w:t>
      </w:r>
      <w:r w:rsidR="00047F60">
        <w:rPr>
          <w:rFonts w:ascii="CIDFont+F1" w:eastAsia="Calibri" w:hAnsi="CIDFont+F1" w:cs="CIDFont+F1"/>
          <w:szCs w:val="22"/>
          <w:lang w:bidi="ar-SA"/>
        </w:rPr>
        <w:t>8</w:t>
      </w:r>
      <w:r w:rsidRPr="00691270">
        <w:rPr>
          <w:rFonts w:ascii="CIDFont+F1" w:eastAsia="Calibri" w:hAnsi="CIDFont+F1" w:cs="CIDFont+F1"/>
          <w:szCs w:val="22"/>
          <w:lang w:bidi="ar-SA"/>
        </w:rPr>
        <w:t xml:space="preserve">). Both of these specification sources are primary sources listed in section S3—2 of the </w:t>
      </w:r>
      <w:r w:rsidR="000450C4">
        <w:rPr>
          <w:rFonts w:ascii="CIDFont+F1" w:eastAsia="Calibri" w:hAnsi="CIDFont+F1" w:cs="CIDFont+F1"/>
          <w:szCs w:val="22"/>
          <w:lang w:bidi="ar-SA"/>
        </w:rPr>
        <w:t xml:space="preserve">Australia New Zealand Food Standards </w:t>
      </w:r>
      <w:r w:rsidRPr="00691270">
        <w:rPr>
          <w:rFonts w:ascii="CIDFont+F1" w:eastAsia="Calibri" w:hAnsi="CIDFont+F1" w:cs="CIDFont+F1"/>
          <w:szCs w:val="22"/>
          <w:lang w:bidi="ar-SA"/>
        </w:rPr>
        <w:t>Code</w:t>
      </w:r>
      <w:r w:rsidR="000450C4">
        <w:rPr>
          <w:rFonts w:ascii="CIDFont+F1" w:eastAsia="Calibri" w:hAnsi="CIDFont+F1" w:cs="CIDFont+F1"/>
          <w:szCs w:val="22"/>
          <w:lang w:bidi="ar-SA"/>
        </w:rPr>
        <w:t xml:space="preserve"> (the Code)</w:t>
      </w:r>
      <w:r w:rsidRPr="00691270">
        <w:rPr>
          <w:rFonts w:ascii="CIDFont+F1" w:eastAsia="Calibri" w:hAnsi="CIDFont+F1" w:cs="CIDFont+F1"/>
          <w:szCs w:val="22"/>
          <w:lang w:bidi="ar-SA"/>
        </w:rPr>
        <w:t>. Enzyme preparations must meet these specifications.</w:t>
      </w:r>
      <w:r>
        <w:rPr>
          <w:rFonts w:ascii="CIDFont+F1" w:eastAsia="Calibri" w:hAnsi="CIDFont+F1" w:cs="CIDFont+F1"/>
          <w:szCs w:val="22"/>
          <w:lang w:bidi="ar-SA"/>
        </w:rPr>
        <w:t xml:space="preserve"> </w:t>
      </w:r>
    </w:p>
    <w:p w14:paraId="65E21886" w14:textId="77777777" w:rsidR="00FA2DEB" w:rsidRPr="00691270" w:rsidRDefault="00FA2DEB" w:rsidP="00FA2DEB">
      <w:pPr>
        <w:widowControl/>
        <w:autoSpaceDE w:val="0"/>
        <w:autoSpaceDN w:val="0"/>
        <w:adjustRightInd w:val="0"/>
        <w:rPr>
          <w:rFonts w:ascii="CIDFont+F1" w:eastAsia="Calibri" w:hAnsi="CIDFont+F1" w:cs="CIDFont+F1"/>
          <w:szCs w:val="22"/>
          <w:lang w:bidi="ar-SA"/>
        </w:rPr>
      </w:pPr>
    </w:p>
    <w:p w14:paraId="438F8290" w14:textId="7CEE4015" w:rsidR="00FA2DEB" w:rsidRDefault="00047F60" w:rsidP="00FA2DEB">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 xml:space="preserve">Table 1 </w:t>
      </w:r>
      <w:r w:rsidR="00FA2DEB" w:rsidRPr="00691270">
        <w:rPr>
          <w:rFonts w:ascii="CIDFont+F1" w:eastAsia="Calibri" w:hAnsi="CIDFont+F1" w:cs="CIDFont+F1"/>
          <w:szCs w:val="22"/>
          <w:lang w:bidi="ar-SA"/>
        </w:rPr>
        <w:t xml:space="preserve">provides a comparison of </w:t>
      </w:r>
      <w:r w:rsidR="00FA2DEB">
        <w:rPr>
          <w:rFonts w:ascii="CIDFont+F1" w:eastAsia="Calibri" w:hAnsi="CIDFont+F1" w:cs="CIDFont+F1"/>
          <w:szCs w:val="22"/>
          <w:lang w:bidi="ar-SA"/>
        </w:rPr>
        <w:t xml:space="preserve">three non-sequential </w:t>
      </w:r>
      <w:r w:rsidR="00FA2DEB" w:rsidRPr="00691270">
        <w:rPr>
          <w:rFonts w:ascii="CIDFont+F1" w:eastAsia="Calibri" w:hAnsi="CIDFont+F1" w:cs="CIDFont+F1"/>
          <w:szCs w:val="22"/>
          <w:lang w:bidi="ar-SA"/>
        </w:rPr>
        <w:t xml:space="preserve">representative batch </w:t>
      </w:r>
      <w:r w:rsidR="00314604" w:rsidRPr="00691270">
        <w:rPr>
          <w:rFonts w:ascii="CIDFont+F1" w:eastAsia="Calibri" w:hAnsi="CIDFont+F1" w:cs="CIDFont+F1"/>
          <w:szCs w:val="22"/>
          <w:lang w:bidi="ar-SA"/>
        </w:rPr>
        <w:t>analys</w:t>
      </w:r>
      <w:r w:rsidR="00314604">
        <w:rPr>
          <w:rFonts w:ascii="CIDFont+F1" w:eastAsia="Calibri" w:hAnsi="CIDFont+F1" w:cs="CIDFont+F1"/>
          <w:szCs w:val="22"/>
          <w:lang w:bidi="ar-SA"/>
        </w:rPr>
        <w:t>e</w:t>
      </w:r>
      <w:r w:rsidR="00314604" w:rsidRPr="00691270">
        <w:rPr>
          <w:rFonts w:ascii="CIDFont+F1" w:eastAsia="Calibri" w:hAnsi="CIDFont+F1" w:cs="CIDFont+F1"/>
          <w:szCs w:val="22"/>
          <w:lang w:bidi="ar-SA"/>
        </w:rPr>
        <w:t xml:space="preserve">s </w:t>
      </w:r>
      <w:r w:rsidR="00FA2DEB" w:rsidRPr="00691270">
        <w:rPr>
          <w:rFonts w:ascii="CIDFont+F1" w:eastAsia="Calibri" w:hAnsi="CIDFont+F1" w:cs="CIDFont+F1"/>
          <w:szCs w:val="22"/>
          <w:lang w:bidi="ar-SA"/>
        </w:rPr>
        <w:t xml:space="preserve">of the </w:t>
      </w:r>
      <w:r w:rsidR="00FA2DEB">
        <w:rPr>
          <w:rFonts w:ascii="CIDFont+F1" w:eastAsia="Calibri" w:hAnsi="CIDFont+F1" w:cs="CIDFont+F1"/>
          <w:szCs w:val="22"/>
          <w:lang w:bidi="ar-SA"/>
        </w:rPr>
        <w:t xml:space="preserve">triacylglycerol lipase </w:t>
      </w:r>
      <w:r w:rsidR="00FA2DEB" w:rsidRPr="00691270">
        <w:rPr>
          <w:rFonts w:ascii="CIDFont+F1" w:eastAsia="Calibri" w:hAnsi="CIDFont+F1" w:cs="CIDFont+F1"/>
          <w:szCs w:val="22"/>
          <w:lang w:bidi="ar-SA"/>
        </w:rPr>
        <w:t>enzyme preparation with the international specifications established by</w:t>
      </w:r>
      <w:r w:rsidR="00FA2DEB">
        <w:rPr>
          <w:rFonts w:ascii="CIDFont+F1" w:eastAsia="Calibri" w:hAnsi="CIDFont+F1" w:cs="CIDFont+F1"/>
          <w:szCs w:val="22"/>
          <w:lang w:bidi="ar-SA"/>
        </w:rPr>
        <w:t xml:space="preserve"> JECFA and </w:t>
      </w:r>
      <w:r w:rsidR="00BF56A2">
        <w:rPr>
          <w:rFonts w:ascii="CIDFont+F1" w:eastAsia="Calibri" w:hAnsi="CIDFont+F1" w:cs="CIDFont+F1"/>
          <w:szCs w:val="22"/>
          <w:lang w:bidi="ar-SA"/>
        </w:rPr>
        <w:t>FCC</w:t>
      </w:r>
      <w:r w:rsidR="00FA2DEB">
        <w:rPr>
          <w:rFonts w:ascii="CIDFont+F1" w:eastAsia="Calibri" w:hAnsi="CIDFont+F1" w:cs="CIDFont+F1"/>
          <w:szCs w:val="22"/>
          <w:lang w:bidi="ar-SA"/>
        </w:rPr>
        <w:t xml:space="preserve">, </w:t>
      </w:r>
      <w:r w:rsidR="00FA2DEB" w:rsidRPr="00691270">
        <w:rPr>
          <w:rFonts w:ascii="CIDFont+F1" w:eastAsia="Calibri" w:hAnsi="CIDFont+F1" w:cs="CIDFont+F1"/>
          <w:szCs w:val="22"/>
          <w:lang w:bidi="ar-SA"/>
        </w:rPr>
        <w:t>as well as those detailed in the Code (</w:t>
      </w:r>
      <w:r w:rsidR="00FA2DEB">
        <w:rPr>
          <w:rFonts w:ascii="CIDFont+F1" w:eastAsia="Calibri" w:hAnsi="CIDFont+F1" w:cs="CIDFont+F1"/>
          <w:szCs w:val="22"/>
          <w:lang w:bidi="ar-SA"/>
        </w:rPr>
        <w:t xml:space="preserve">being section S3—4, </w:t>
      </w:r>
      <w:r w:rsidR="00FA2DEB" w:rsidRPr="00691270">
        <w:rPr>
          <w:rFonts w:ascii="CIDFont+F1" w:eastAsia="Calibri" w:hAnsi="CIDFont+F1" w:cs="CIDFont+F1"/>
          <w:szCs w:val="22"/>
          <w:lang w:bidi="ar-SA"/>
        </w:rPr>
        <w:t>as applicable).</w:t>
      </w:r>
    </w:p>
    <w:p w14:paraId="6E335858" w14:textId="77777777" w:rsidR="00FA2DEB" w:rsidRDefault="00FA2DEB" w:rsidP="00FA2DEB">
      <w:pPr>
        <w:widowControl/>
        <w:autoSpaceDE w:val="0"/>
        <w:autoSpaceDN w:val="0"/>
        <w:adjustRightInd w:val="0"/>
        <w:rPr>
          <w:rFonts w:ascii="CIDFont+F1" w:eastAsia="Calibri" w:hAnsi="CIDFont+F1" w:cs="CIDFont+F1"/>
          <w:b/>
          <w:i/>
          <w:szCs w:val="22"/>
          <w:lang w:bidi="ar-SA"/>
        </w:rPr>
      </w:pPr>
    </w:p>
    <w:p w14:paraId="2F1DECFC" w14:textId="525C413E" w:rsidR="00FA2DEB" w:rsidRDefault="00FA2DEB" w:rsidP="00FA2DEB">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b/>
          <w:i/>
          <w:szCs w:val="22"/>
          <w:lang w:bidi="ar-SA"/>
        </w:rPr>
        <w:lastRenderedPageBreak/>
        <w:t xml:space="preserve">Table </w:t>
      </w:r>
      <w:r w:rsidR="00047F60">
        <w:rPr>
          <w:rFonts w:ascii="CIDFont+F1" w:eastAsia="Calibri" w:hAnsi="CIDFont+F1" w:cs="CIDFont+F1"/>
          <w:b/>
          <w:i/>
          <w:szCs w:val="22"/>
          <w:lang w:bidi="ar-SA"/>
        </w:rPr>
        <w:t>1</w:t>
      </w:r>
      <w:r w:rsidRPr="00691270">
        <w:rPr>
          <w:rFonts w:ascii="CIDFont+F1" w:eastAsia="Calibri" w:hAnsi="CIDFont+F1" w:cs="CIDFont+F1"/>
          <w:b/>
          <w:i/>
          <w:szCs w:val="22"/>
          <w:lang w:bidi="ar-SA"/>
        </w:rPr>
        <w:t>:</w:t>
      </w:r>
      <w:r w:rsidRPr="00691270">
        <w:rPr>
          <w:rFonts w:ascii="CIDFont+F1" w:eastAsia="Calibri" w:hAnsi="CIDFont+F1" w:cs="CIDFont+F1"/>
          <w:szCs w:val="22"/>
          <w:lang w:bidi="ar-SA"/>
        </w:rPr>
        <w:t xml:space="preserve"> </w:t>
      </w:r>
      <w:r>
        <w:rPr>
          <w:rFonts w:ascii="CIDFont+F1" w:eastAsia="Calibri" w:hAnsi="CIDFont+F1" w:cs="CIDFont+F1"/>
          <w:i/>
          <w:szCs w:val="22"/>
          <w:lang w:bidi="ar-SA"/>
        </w:rPr>
        <w:t xml:space="preserve">Comparison of three representative samples of the commercial enzyme preparations with international enzyme specifications (JECFA and Food Chemicals Codex) </w:t>
      </w:r>
    </w:p>
    <w:p w14:paraId="309BB4F5" w14:textId="77777777" w:rsidR="00691270" w:rsidRDefault="00691270" w:rsidP="00FA2DEB">
      <w:pPr>
        <w:keepNext/>
        <w:keepLines/>
        <w:widowControl/>
        <w:autoSpaceDE w:val="0"/>
        <w:autoSpaceDN w:val="0"/>
        <w:adjustRightInd w:val="0"/>
        <w:rPr>
          <w:rFonts w:ascii="CIDFont+F1" w:eastAsia="Calibri" w:hAnsi="CIDFont+F1" w:cs="CIDFont+F1"/>
          <w:szCs w:val="22"/>
          <w:lang w:bidi="ar-SA"/>
        </w:rPr>
      </w:pPr>
    </w:p>
    <w:tbl>
      <w:tblPr>
        <w:tblStyle w:val="TableGrid21"/>
        <w:tblW w:w="0" w:type="auto"/>
        <w:jc w:val="center"/>
        <w:tblLook w:val="04A0" w:firstRow="1" w:lastRow="0" w:firstColumn="1" w:lastColumn="0" w:noHBand="0" w:noVBand="1"/>
        <w:tblDescription w:val="Enzyme specifications comparision to JECFA, Food Chemicals Codex and relevant Code criteria: lead, arsenic, cadmium, mercury, total coliforms, salmonella, enteropathic E. coli, antimicrobial activity"/>
      </w:tblPr>
      <w:tblGrid>
        <w:gridCol w:w="2215"/>
        <w:gridCol w:w="1891"/>
        <w:gridCol w:w="1688"/>
        <w:gridCol w:w="1633"/>
        <w:gridCol w:w="1633"/>
      </w:tblGrid>
      <w:tr w:rsidR="00FA2DEB" w:rsidRPr="00FA2DEB" w14:paraId="7E656BCF" w14:textId="77777777" w:rsidTr="00FA2DEB">
        <w:trPr>
          <w:jc w:val="center"/>
        </w:trPr>
        <w:tc>
          <w:tcPr>
            <w:tcW w:w="2215" w:type="dxa"/>
            <w:vMerge w:val="restart"/>
            <w:vAlign w:val="center"/>
          </w:tcPr>
          <w:p w14:paraId="788028B1" w14:textId="77777777" w:rsidR="00FA2DEB" w:rsidRPr="00FA2DEB" w:rsidRDefault="00FA2DEB" w:rsidP="00FA2DEB">
            <w:pPr>
              <w:keepNext/>
              <w:keepLines/>
              <w:widowControl/>
              <w:autoSpaceDE w:val="0"/>
              <w:autoSpaceDN w:val="0"/>
              <w:adjustRightInd w:val="0"/>
              <w:jc w:val="center"/>
              <w:rPr>
                <w:rFonts w:ascii="CIDFont+F1" w:hAnsi="CIDFont+F1" w:cs="CIDFont+F3"/>
                <w:b/>
                <w:szCs w:val="22"/>
                <w:lang w:bidi="ar-SA"/>
              </w:rPr>
            </w:pPr>
            <w:r w:rsidRPr="00FA2DEB">
              <w:rPr>
                <w:rFonts w:ascii="CIDFont+F1" w:hAnsi="CIDFont+F1" w:cs="CIDFont+F3"/>
                <w:b/>
                <w:szCs w:val="22"/>
                <w:lang w:bidi="ar-SA"/>
              </w:rPr>
              <w:t>Analysis</w:t>
            </w:r>
          </w:p>
        </w:tc>
        <w:tc>
          <w:tcPr>
            <w:tcW w:w="1891" w:type="dxa"/>
            <w:vMerge w:val="restart"/>
            <w:vAlign w:val="center"/>
          </w:tcPr>
          <w:p w14:paraId="67A5F7F3" w14:textId="77777777" w:rsidR="00FA2DEB" w:rsidRPr="00FA2DEB" w:rsidRDefault="00FA2DEB" w:rsidP="00FA2DEB">
            <w:pPr>
              <w:keepNext/>
              <w:keepLines/>
              <w:widowControl/>
              <w:autoSpaceDE w:val="0"/>
              <w:autoSpaceDN w:val="0"/>
              <w:adjustRightInd w:val="0"/>
              <w:jc w:val="center"/>
              <w:rPr>
                <w:rFonts w:ascii="CIDFont+F1" w:hAnsi="CIDFont+F1" w:cs="CIDFont+F3"/>
                <w:b/>
                <w:szCs w:val="22"/>
                <w:lang w:bidi="ar-SA"/>
              </w:rPr>
            </w:pPr>
            <w:r w:rsidRPr="00FA2DEB">
              <w:rPr>
                <w:rFonts w:ascii="CIDFont+F1" w:hAnsi="CIDFont+F1" w:cs="CIDFont+F3"/>
                <w:b/>
                <w:szCs w:val="22"/>
                <w:lang w:bidi="ar-SA"/>
              </w:rPr>
              <w:t>Enzyme batch analysis</w:t>
            </w:r>
          </w:p>
        </w:tc>
        <w:tc>
          <w:tcPr>
            <w:tcW w:w="4954" w:type="dxa"/>
            <w:gridSpan w:val="3"/>
            <w:vAlign w:val="center"/>
          </w:tcPr>
          <w:p w14:paraId="6526039C" w14:textId="77777777" w:rsidR="00FA2DEB" w:rsidRPr="00FA2DEB" w:rsidRDefault="00FA2DEB" w:rsidP="00FA2DEB">
            <w:pPr>
              <w:keepNext/>
              <w:keepLines/>
              <w:widowControl/>
              <w:jc w:val="center"/>
              <w:rPr>
                <w:rFonts w:ascii="CIDFont+F1" w:hAnsi="CIDFont+F1"/>
                <w:b/>
                <w:szCs w:val="22"/>
              </w:rPr>
            </w:pPr>
            <w:r w:rsidRPr="00FA2DEB">
              <w:rPr>
                <w:rFonts w:ascii="CIDFont+F1" w:hAnsi="CIDFont+F1"/>
                <w:b/>
                <w:szCs w:val="22"/>
              </w:rPr>
              <w:t>Specifications</w:t>
            </w:r>
          </w:p>
        </w:tc>
      </w:tr>
      <w:tr w:rsidR="00FA2DEB" w:rsidRPr="00FA2DEB" w14:paraId="5B15BB9F" w14:textId="77777777" w:rsidTr="00FA2DEB">
        <w:trPr>
          <w:jc w:val="center"/>
        </w:trPr>
        <w:tc>
          <w:tcPr>
            <w:tcW w:w="2215" w:type="dxa"/>
            <w:vMerge/>
            <w:vAlign w:val="center"/>
          </w:tcPr>
          <w:p w14:paraId="13E5D2DF" w14:textId="77777777" w:rsidR="00FA2DEB" w:rsidRPr="00FA2DEB" w:rsidRDefault="00FA2DEB" w:rsidP="00FA2DEB">
            <w:pPr>
              <w:keepNext/>
              <w:keepLines/>
              <w:widowControl/>
              <w:autoSpaceDE w:val="0"/>
              <w:autoSpaceDN w:val="0"/>
              <w:adjustRightInd w:val="0"/>
              <w:jc w:val="center"/>
              <w:rPr>
                <w:rFonts w:ascii="CIDFont+F1" w:hAnsi="CIDFont+F1" w:cs="CIDFont+F1"/>
                <w:b/>
                <w:szCs w:val="22"/>
                <w:lang w:bidi="ar-SA"/>
              </w:rPr>
            </w:pPr>
          </w:p>
        </w:tc>
        <w:tc>
          <w:tcPr>
            <w:tcW w:w="1891" w:type="dxa"/>
            <w:vMerge/>
            <w:vAlign w:val="center"/>
          </w:tcPr>
          <w:p w14:paraId="72D7736D" w14:textId="77777777" w:rsidR="00FA2DEB" w:rsidRPr="00FA2DEB" w:rsidRDefault="00FA2DEB" w:rsidP="00FA2DEB">
            <w:pPr>
              <w:keepNext/>
              <w:keepLines/>
              <w:widowControl/>
              <w:autoSpaceDE w:val="0"/>
              <w:autoSpaceDN w:val="0"/>
              <w:adjustRightInd w:val="0"/>
              <w:jc w:val="center"/>
              <w:rPr>
                <w:rFonts w:ascii="CIDFont+F1" w:hAnsi="CIDFont+F1" w:cs="CIDFont+F1"/>
                <w:b/>
                <w:szCs w:val="22"/>
                <w:lang w:bidi="ar-SA"/>
              </w:rPr>
            </w:pPr>
          </w:p>
        </w:tc>
        <w:tc>
          <w:tcPr>
            <w:tcW w:w="1688" w:type="dxa"/>
            <w:vAlign w:val="center"/>
          </w:tcPr>
          <w:p w14:paraId="4E740233" w14:textId="77777777" w:rsidR="00FA2DEB" w:rsidRPr="00FA2DEB" w:rsidRDefault="00FA2DEB" w:rsidP="00FA2DEB">
            <w:pPr>
              <w:keepNext/>
              <w:keepLines/>
              <w:widowControl/>
              <w:autoSpaceDE w:val="0"/>
              <w:autoSpaceDN w:val="0"/>
              <w:adjustRightInd w:val="0"/>
              <w:jc w:val="center"/>
              <w:rPr>
                <w:rFonts w:ascii="CIDFont+F1" w:hAnsi="CIDFont+F1" w:cs="CIDFont+F1"/>
                <w:b/>
                <w:szCs w:val="22"/>
                <w:lang w:bidi="ar-SA"/>
              </w:rPr>
            </w:pPr>
            <w:r w:rsidRPr="00FA2DEB">
              <w:rPr>
                <w:rFonts w:ascii="CIDFont+F1" w:hAnsi="CIDFont+F1" w:cs="CIDFont+F3"/>
                <w:b/>
                <w:szCs w:val="22"/>
                <w:lang w:bidi="ar-SA"/>
              </w:rPr>
              <w:t>JECFA</w:t>
            </w:r>
          </w:p>
        </w:tc>
        <w:tc>
          <w:tcPr>
            <w:tcW w:w="1633" w:type="dxa"/>
            <w:vAlign w:val="center"/>
          </w:tcPr>
          <w:p w14:paraId="5385440E" w14:textId="77777777" w:rsidR="00FA2DEB" w:rsidRPr="00FA2DEB" w:rsidRDefault="00FA2DEB" w:rsidP="00FA2DEB">
            <w:pPr>
              <w:keepNext/>
              <w:keepLines/>
              <w:widowControl/>
              <w:autoSpaceDE w:val="0"/>
              <w:autoSpaceDN w:val="0"/>
              <w:adjustRightInd w:val="0"/>
              <w:jc w:val="center"/>
              <w:rPr>
                <w:rFonts w:ascii="CIDFont+F1" w:hAnsi="CIDFont+F1" w:cs="CIDFont+F3"/>
                <w:b/>
                <w:szCs w:val="22"/>
                <w:lang w:bidi="ar-SA"/>
              </w:rPr>
            </w:pPr>
            <w:r w:rsidRPr="00FA2DEB">
              <w:rPr>
                <w:rFonts w:ascii="CIDFont+F1" w:hAnsi="CIDFont+F1" w:cs="CIDFont+F3"/>
                <w:b/>
                <w:szCs w:val="22"/>
                <w:lang w:bidi="ar-SA"/>
              </w:rPr>
              <w:t>Food Chemicals Codex</w:t>
            </w:r>
          </w:p>
        </w:tc>
        <w:tc>
          <w:tcPr>
            <w:tcW w:w="1633" w:type="dxa"/>
            <w:vAlign w:val="center"/>
          </w:tcPr>
          <w:p w14:paraId="3A90ABA5" w14:textId="77777777" w:rsidR="00FA2DEB" w:rsidRPr="00FA2DEB" w:rsidRDefault="00FA2DEB" w:rsidP="00FA2DEB">
            <w:pPr>
              <w:keepNext/>
              <w:keepLines/>
              <w:widowControl/>
              <w:autoSpaceDE w:val="0"/>
              <w:autoSpaceDN w:val="0"/>
              <w:adjustRightInd w:val="0"/>
              <w:jc w:val="center"/>
              <w:rPr>
                <w:rFonts w:ascii="CIDFont+F1" w:hAnsi="CIDFont+F1" w:cs="CIDFont+F1"/>
                <w:szCs w:val="22"/>
                <w:lang w:bidi="ar-SA"/>
              </w:rPr>
            </w:pPr>
            <w:r w:rsidRPr="00FA2DEB">
              <w:rPr>
                <w:rFonts w:ascii="CIDFont+F1" w:hAnsi="CIDFont+F1"/>
                <w:b/>
                <w:szCs w:val="22"/>
              </w:rPr>
              <w:t>the Code</w:t>
            </w:r>
          </w:p>
        </w:tc>
      </w:tr>
      <w:tr w:rsidR="00FA2DEB" w:rsidRPr="00FA2DEB" w14:paraId="213F4A19" w14:textId="77777777" w:rsidTr="00FA2DEB">
        <w:trPr>
          <w:jc w:val="center"/>
        </w:trPr>
        <w:tc>
          <w:tcPr>
            <w:tcW w:w="2215" w:type="dxa"/>
          </w:tcPr>
          <w:p w14:paraId="6BCBA511"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Lead (mg/kg)</w:t>
            </w:r>
          </w:p>
        </w:tc>
        <w:tc>
          <w:tcPr>
            <w:tcW w:w="1891" w:type="dxa"/>
          </w:tcPr>
          <w:p w14:paraId="7E886300" w14:textId="4862C03F"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&lt;0.05, &lt;0.05, &lt;0.05</w:t>
            </w:r>
          </w:p>
        </w:tc>
        <w:tc>
          <w:tcPr>
            <w:tcW w:w="1688" w:type="dxa"/>
          </w:tcPr>
          <w:p w14:paraId="514AF182"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5</w:t>
            </w:r>
          </w:p>
        </w:tc>
        <w:tc>
          <w:tcPr>
            <w:tcW w:w="1633" w:type="dxa"/>
          </w:tcPr>
          <w:p w14:paraId="431FE177"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5</w:t>
            </w:r>
          </w:p>
        </w:tc>
        <w:tc>
          <w:tcPr>
            <w:tcW w:w="1633" w:type="dxa"/>
          </w:tcPr>
          <w:p w14:paraId="391978E2" w14:textId="751ACB6D" w:rsidR="00FA2DEB" w:rsidRPr="00FA2DEB" w:rsidRDefault="00BF56A2"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w:t>
            </w:r>
          </w:p>
        </w:tc>
      </w:tr>
      <w:tr w:rsidR="00FA2DEB" w:rsidRPr="00FA2DEB" w14:paraId="4C64EE84" w14:textId="77777777" w:rsidTr="00FA2DEB">
        <w:trPr>
          <w:jc w:val="center"/>
        </w:trPr>
        <w:tc>
          <w:tcPr>
            <w:tcW w:w="2215" w:type="dxa"/>
          </w:tcPr>
          <w:p w14:paraId="140A6C50"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Arsenic (mg/kg)</w:t>
            </w:r>
          </w:p>
        </w:tc>
        <w:tc>
          <w:tcPr>
            <w:tcW w:w="1891" w:type="dxa"/>
          </w:tcPr>
          <w:p w14:paraId="6EE9FA9F" w14:textId="53CD1720"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&lt;0.1, &lt;0.1, &lt;0.1</w:t>
            </w:r>
          </w:p>
        </w:tc>
        <w:tc>
          <w:tcPr>
            <w:tcW w:w="1688" w:type="dxa"/>
          </w:tcPr>
          <w:p w14:paraId="2140A37E"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47CCEAD2"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1B595029"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≤1</w:t>
            </w:r>
          </w:p>
        </w:tc>
      </w:tr>
      <w:tr w:rsidR="00FA2DEB" w:rsidRPr="00FA2DEB" w14:paraId="787B762F" w14:textId="77777777" w:rsidTr="00FA2DEB">
        <w:trPr>
          <w:jc w:val="center"/>
        </w:trPr>
        <w:tc>
          <w:tcPr>
            <w:tcW w:w="2215" w:type="dxa"/>
          </w:tcPr>
          <w:p w14:paraId="571F0B9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Cadmium (mg/kg)</w:t>
            </w:r>
          </w:p>
        </w:tc>
        <w:tc>
          <w:tcPr>
            <w:tcW w:w="1891" w:type="dxa"/>
          </w:tcPr>
          <w:p w14:paraId="5D0C0D7F" w14:textId="2CEF6BA1"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&lt;0.01, &lt;0.01, &lt;0.01</w:t>
            </w:r>
          </w:p>
        </w:tc>
        <w:tc>
          <w:tcPr>
            <w:tcW w:w="1688" w:type="dxa"/>
          </w:tcPr>
          <w:p w14:paraId="326EAE15"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5B193983"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71C04747"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≤1</w:t>
            </w:r>
          </w:p>
        </w:tc>
      </w:tr>
      <w:tr w:rsidR="00FA2DEB" w:rsidRPr="00FA2DEB" w14:paraId="0F5A3841" w14:textId="77777777" w:rsidTr="00FA2DEB">
        <w:trPr>
          <w:jc w:val="center"/>
        </w:trPr>
        <w:tc>
          <w:tcPr>
            <w:tcW w:w="2215" w:type="dxa"/>
          </w:tcPr>
          <w:p w14:paraId="3371F1F8"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Mercury (mg/kg)</w:t>
            </w:r>
          </w:p>
        </w:tc>
        <w:tc>
          <w:tcPr>
            <w:tcW w:w="1891" w:type="dxa"/>
          </w:tcPr>
          <w:p w14:paraId="355C8B8A" w14:textId="24EB84BB"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&lt;0.01, &lt;0.01, &lt;0.01</w:t>
            </w:r>
          </w:p>
        </w:tc>
        <w:tc>
          <w:tcPr>
            <w:tcW w:w="1688" w:type="dxa"/>
          </w:tcPr>
          <w:p w14:paraId="3A61FBCF"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5C060366"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6DBD39AB"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≤1</w:t>
            </w:r>
          </w:p>
        </w:tc>
      </w:tr>
      <w:tr w:rsidR="00FA2DEB" w:rsidRPr="00FA2DEB" w14:paraId="460AD454" w14:textId="77777777" w:rsidTr="00FA2DEB">
        <w:trPr>
          <w:jc w:val="center"/>
        </w:trPr>
        <w:tc>
          <w:tcPr>
            <w:tcW w:w="2215" w:type="dxa"/>
          </w:tcPr>
          <w:p w14:paraId="132CD515"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Total coliforms (cfu/g)</w:t>
            </w:r>
          </w:p>
        </w:tc>
        <w:tc>
          <w:tcPr>
            <w:tcW w:w="1891" w:type="dxa"/>
          </w:tcPr>
          <w:p w14:paraId="39F73456" w14:textId="3EB106FE" w:rsidR="00FA2DEB" w:rsidRPr="00FA2DEB" w:rsidRDefault="00FA2DEB"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&lt;1, &lt;1, &lt;1</w:t>
            </w:r>
          </w:p>
        </w:tc>
        <w:tc>
          <w:tcPr>
            <w:tcW w:w="1688" w:type="dxa"/>
          </w:tcPr>
          <w:p w14:paraId="5B9F9970"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≤30 </w:t>
            </w:r>
          </w:p>
        </w:tc>
        <w:tc>
          <w:tcPr>
            <w:tcW w:w="1633" w:type="dxa"/>
          </w:tcPr>
          <w:p w14:paraId="14CE417F"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≤30</w:t>
            </w:r>
          </w:p>
        </w:tc>
        <w:tc>
          <w:tcPr>
            <w:tcW w:w="1633" w:type="dxa"/>
          </w:tcPr>
          <w:p w14:paraId="47B3568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51C7FB70" w14:textId="77777777" w:rsidTr="00FA2DEB">
        <w:trPr>
          <w:jc w:val="center"/>
        </w:trPr>
        <w:tc>
          <w:tcPr>
            <w:tcW w:w="2215" w:type="dxa"/>
          </w:tcPr>
          <w:p w14:paraId="28807435"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Salmonella (in 25 g)</w:t>
            </w:r>
          </w:p>
        </w:tc>
        <w:tc>
          <w:tcPr>
            <w:tcW w:w="1891" w:type="dxa"/>
          </w:tcPr>
          <w:p w14:paraId="62F6D8FD" w14:textId="332EC215" w:rsidR="00FA2DEB" w:rsidRPr="00FA2DEB" w:rsidRDefault="00FA2DEB" w:rsidP="00A45A25">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ND</w:t>
            </w:r>
            <w:r>
              <w:rPr>
                <w:rFonts w:ascii="CIDFont+F1" w:hAnsi="CIDFont+F1" w:cs="CIDFont+F1"/>
                <w:szCs w:val="22"/>
                <w:lang w:bidi="ar-SA"/>
              </w:rPr>
              <w:t>, ND, ND</w:t>
            </w:r>
          </w:p>
        </w:tc>
        <w:tc>
          <w:tcPr>
            <w:tcW w:w="1688" w:type="dxa"/>
          </w:tcPr>
          <w:p w14:paraId="32EF438B"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Absent</w:t>
            </w:r>
          </w:p>
        </w:tc>
        <w:tc>
          <w:tcPr>
            <w:tcW w:w="1633" w:type="dxa"/>
          </w:tcPr>
          <w:p w14:paraId="1FFEF8F9"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Negative</w:t>
            </w:r>
          </w:p>
        </w:tc>
        <w:tc>
          <w:tcPr>
            <w:tcW w:w="1633" w:type="dxa"/>
          </w:tcPr>
          <w:p w14:paraId="13A23B41"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7BD618A3" w14:textId="77777777" w:rsidTr="00FA2DEB">
        <w:trPr>
          <w:jc w:val="center"/>
        </w:trPr>
        <w:tc>
          <w:tcPr>
            <w:tcW w:w="2215" w:type="dxa"/>
          </w:tcPr>
          <w:p w14:paraId="0005D4D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Enteropathic </w:t>
            </w:r>
            <w:r w:rsidRPr="00FA2DEB">
              <w:rPr>
                <w:rFonts w:ascii="CIDFont+F1" w:hAnsi="CIDFont+F1" w:cs="CIDFont+F1"/>
                <w:i/>
                <w:szCs w:val="22"/>
                <w:lang w:bidi="ar-SA"/>
              </w:rPr>
              <w:t>E. coli</w:t>
            </w:r>
            <w:r w:rsidRPr="00FA2DEB">
              <w:rPr>
                <w:rFonts w:ascii="CIDFont+F1" w:hAnsi="CIDFont+F1" w:cs="CIDFont+F1"/>
                <w:szCs w:val="22"/>
                <w:lang w:bidi="ar-SA"/>
              </w:rPr>
              <w:t xml:space="preserve"> (in 25 g)</w:t>
            </w:r>
          </w:p>
        </w:tc>
        <w:tc>
          <w:tcPr>
            <w:tcW w:w="1891" w:type="dxa"/>
          </w:tcPr>
          <w:p w14:paraId="7AC27405" w14:textId="05106F9B"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ND</w:t>
            </w:r>
            <w:r>
              <w:rPr>
                <w:rFonts w:ascii="CIDFont+F1" w:hAnsi="CIDFont+F1" w:cs="CIDFont+F1"/>
                <w:szCs w:val="22"/>
                <w:lang w:bidi="ar-SA"/>
              </w:rPr>
              <w:t>, ND, ND</w:t>
            </w:r>
          </w:p>
        </w:tc>
        <w:tc>
          <w:tcPr>
            <w:tcW w:w="1688" w:type="dxa"/>
          </w:tcPr>
          <w:p w14:paraId="10E9EE10"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Absent </w:t>
            </w:r>
          </w:p>
        </w:tc>
        <w:tc>
          <w:tcPr>
            <w:tcW w:w="1633" w:type="dxa"/>
          </w:tcPr>
          <w:p w14:paraId="795EA20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3E7A7B39"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2A1D6A29" w14:textId="77777777" w:rsidTr="00FA2DEB">
        <w:trPr>
          <w:jc w:val="center"/>
        </w:trPr>
        <w:tc>
          <w:tcPr>
            <w:tcW w:w="2215" w:type="dxa"/>
          </w:tcPr>
          <w:p w14:paraId="5F7C2ABC"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Antimicrobial activity </w:t>
            </w:r>
          </w:p>
        </w:tc>
        <w:tc>
          <w:tcPr>
            <w:tcW w:w="1891" w:type="dxa"/>
          </w:tcPr>
          <w:p w14:paraId="39806283" w14:textId="5650948C"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ND</w:t>
            </w:r>
            <w:r>
              <w:rPr>
                <w:rFonts w:ascii="CIDFont+F1" w:hAnsi="CIDFont+F1" w:cs="CIDFont+F1"/>
                <w:szCs w:val="22"/>
                <w:lang w:bidi="ar-SA"/>
              </w:rPr>
              <w:t>, ND, ND</w:t>
            </w:r>
          </w:p>
        </w:tc>
        <w:tc>
          <w:tcPr>
            <w:tcW w:w="1688" w:type="dxa"/>
          </w:tcPr>
          <w:p w14:paraId="0D500ADE"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Absent</w:t>
            </w:r>
          </w:p>
        </w:tc>
        <w:tc>
          <w:tcPr>
            <w:tcW w:w="1633" w:type="dxa"/>
          </w:tcPr>
          <w:p w14:paraId="52BDA0DE"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4FD143A8" w14:textId="5DC211A0"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41B1E943" w14:textId="77777777" w:rsidTr="00FA2DEB">
        <w:trPr>
          <w:jc w:val="center"/>
        </w:trPr>
        <w:tc>
          <w:tcPr>
            <w:tcW w:w="2215" w:type="dxa"/>
          </w:tcPr>
          <w:p w14:paraId="4AE42620" w14:textId="52787283"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Production strain</w:t>
            </w:r>
          </w:p>
        </w:tc>
        <w:tc>
          <w:tcPr>
            <w:tcW w:w="1891" w:type="dxa"/>
          </w:tcPr>
          <w:p w14:paraId="2D976B39" w14:textId="5164673E"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ND, ND, ND</w:t>
            </w:r>
          </w:p>
        </w:tc>
        <w:tc>
          <w:tcPr>
            <w:tcW w:w="1688" w:type="dxa"/>
          </w:tcPr>
          <w:p w14:paraId="24F93C21" w14:textId="13D9A073"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w:t>
            </w:r>
          </w:p>
        </w:tc>
        <w:tc>
          <w:tcPr>
            <w:tcW w:w="1633" w:type="dxa"/>
          </w:tcPr>
          <w:p w14:paraId="08849057" w14:textId="1EED16F9"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w:t>
            </w:r>
          </w:p>
        </w:tc>
        <w:tc>
          <w:tcPr>
            <w:tcW w:w="1633" w:type="dxa"/>
          </w:tcPr>
          <w:p w14:paraId="60A1FE9E" w14:textId="1E23C812" w:rsidR="00FA2DEB" w:rsidRPr="00FA2DEB" w:rsidRDefault="00FA2DEB"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w:t>
            </w:r>
          </w:p>
        </w:tc>
      </w:tr>
      <w:tr w:rsidR="00FA2DEB" w:rsidRPr="00FA2DEB" w14:paraId="6D65887A" w14:textId="77777777" w:rsidTr="00FA2DEB">
        <w:trPr>
          <w:jc w:val="center"/>
        </w:trPr>
        <w:tc>
          <w:tcPr>
            <w:tcW w:w="2215" w:type="dxa"/>
          </w:tcPr>
          <w:p w14:paraId="1253EFDD" w14:textId="752A477C" w:rsid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Mycotoxins</w:t>
            </w:r>
          </w:p>
        </w:tc>
        <w:tc>
          <w:tcPr>
            <w:tcW w:w="1891" w:type="dxa"/>
          </w:tcPr>
          <w:p w14:paraId="3925A85C" w14:textId="0C5790C6"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ND, ND, ND</w:t>
            </w:r>
          </w:p>
        </w:tc>
        <w:tc>
          <w:tcPr>
            <w:tcW w:w="1688" w:type="dxa"/>
          </w:tcPr>
          <w:p w14:paraId="74B8984D" w14:textId="1659BB8C"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No toxicological significant amounts</w:t>
            </w:r>
          </w:p>
        </w:tc>
        <w:tc>
          <w:tcPr>
            <w:tcW w:w="1633" w:type="dxa"/>
          </w:tcPr>
          <w:p w14:paraId="68B7BBBB" w14:textId="0B7CA581"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w:t>
            </w:r>
          </w:p>
        </w:tc>
        <w:tc>
          <w:tcPr>
            <w:tcW w:w="1633" w:type="dxa"/>
          </w:tcPr>
          <w:p w14:paraId="6BA9D537" w14:textId="20A591DB" w:rsidR="00FA2DEB" w:rsidRDefault="00FA2DEB"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w:t>
            </w:r>
          </w:p>
        </w:tc>
      </w:tr>
    </w:tbl>
    <w:p w14:paraId="0B3E0677" w14:textId="77777777" w:rsidR="00FA2DEB" w:rsidRDefault="00FA2DEB" w:rsidP="00FA2DEB">
      <w:pPr>
        <w:keepNext/>
        <w:keepLines/>
        <w:widowControl/>
        <w:autoSpaceDE w:val="0"/>
        <w:autoSpaceDN w:val="0"/>
        <w:adjustRightInd w:val="0"/>
        <w:rPr>
          <w:rFonts w:ascii="CIDFont+F1" w:eastAsia="Calibri" w:hAnsi="CIDFont+F1" w:cs="CIDFont+F1"/>
          <w:szCs w:val="22"/>
          <w:lang w:bidi="ar-SA"/>
        </w:rPr>
      </w:pPr>
    </w:p>
    <w:p w14:paraId="702084DD" w14:textId="4DCB50E0" w:rsidR="00691270" w:rsidRPr="00225911" w:rsidRDefault="00691270" w:rsidP="00FA2DEB">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ab/>
      </w:r>
      <w:r w:rsidRPr="00225911">
        <w:rPr>
          <w:rFonts w:ascii="CIDFont+F1" w:eastAsia="Calibri" w:hAnsi="CIDFont+F1" w:cs="CIDFont+F1"/>
          <w:szCs w:val="22"/>
          <w:lang w:bidi="ar-SA"/>
        </w:rPr>
        <w:t>ND = Not detected</w:t>
      </w:r>
    </w:p>
    <w:p w14:paraId="1F36B028" w14:textId="77777777" w:rsidR="00691270" w:rsidRPr="00225911" w:rsidRDefault="00691270" w:rsidP="00691270">
      <w:pPr>
        <w:widowControl/>
        <w:autoSpaceDE w:val="0"/>
        <w:autoSpaceDN w:val="0"/>
        <w:adjustRightInd w:val="0"/>
        <w:rPr>
          <w:rFonts w:ascii="CIDFont+F1" w:eastAsia="Calibri" w:hAnsi="CIDFont+F1" w:cs="CIDFont+F1"/>
          <w:szCs w:val="22"/>
          <w:lang w:bidi="ar-SA"/>
        </w:rPr>
      </w:pPr>
    </w:p>
    <w:p w14:paraId="4925DB47" w14:textId="11FCD989" w:rsidR="00691270" w:rsidRPr="005017FA" w:rsidRDefault="00691270" w:rsidP="00691270">
      <w:pPr>
        <w:rPr>
          <w:lang w:eastAsia="en-AU" w:bidi="ar-SA"/>
        </w:rPr>
      </w:pPr>
      <w:r w:rsidRPr="00691270">
        <w:rPr>
          <w:rFonts w:ascii="CIDFont+F1" w:eastAsia="Calibri" w:hAnsi="CIDFont+F1" w:cs="CIDFont+F1"/>
          <w:szCs w:val="22"/>
          <w:lang w:bidi="ar-SA"/>
        </w:rPr>
        <w:t xml:space="preserve">Based on the above results, the enzyme preparation meets international specifications </w:t>
      </w:r>
      <w:r w:rsidR="00BF56A2">
        <w:rPr>
          <w:rFonts w:ascii="CIDFont+F1" w:eastAsia="Calibri" w:hAnsi="CIDFont+F1" w:cs="CIDFont+F1"/>
          <w:szCs w:val="22"/>
          <w:lang w:bidi="ar-SA"/>
        </w:rPr>
        <w:t xml:space="preserve">and the Code requirements </w:t>
      </w:r>
      <w:r w:rsidRPr="00691270">
        <w:rPr>
          <w:rFonts w:ascii="CIDFont+F1" w:eastAsia="Calibri" w:hAnsi="CIDFont+F1" w:cs="CIDFont+F1"/>
          <w:szCs w:val="22"/>
          <w:lang w:bidi="ar-SA"/>
        </w:rPr>
        <w:t>for enzymes used in the production of food</w:t>
      </w:r>
      <w:r w:rsidR="005017FA">
        <w:rPr>
          <w:rFonts w:ascii="CIDFont+F1" w:eastAsia="Calibri" w:hAnsi="CIDFont+F1" w:cs="CIDFont+F1"/>
          <w:szCs w:val="22"/>
          <w:lang w:bidi="ar-SA"/>
        </w:rPr>
        <w:t>.</w:t>
      </w:r>
    </w:p>
    <w:p w14:paraId="7855AD6F" w14:textId="3AA82EEC" w:rsidR="001E6A7B" w:rsidRDefault="001E6A7B" w:rsidP="00BD59CB">
      <w:pPr>
        <w:pStyle w:val="Heading2"/>
      </w:pPr>
      <w:bookmarkStart w:id="18" w:name="_Toc472327053"/>
      <w:bookmarkStart w:id="19" w:name="_Toc501699827"/>
      <w:bookmarkStart w:id="20" w:name="_Toc4152930"/>
      <w:r>
        <w:t>2.3</w:t>
      </w:r>
      <w:r>
        <w:tab/>
        <w:t>Food technology conclusion</w:t>
      </w:r>
      <w:bookmarkEnd w:id="18"/>
      <w:bookmarkEnd w:id="19"/>
      <w:bookmarkEnd w:id="20"/>
    </w:p>
    <w:p w14:paraId="62BD3AB6" w14:textId="0FFDF180" w:rsidR="00691270" w:rsidRPr="009E66C8" w:rsidRDefault="00691270" w:rsidP="00691270">
      <w:r w:rsidRPr="009E66C8">
        <w:t xml:space="preserve">FSANZ concludes that the stated purpose of this enzyme preparation as a processing aid in </w:t>
      </w:r>
      <w:r w:rsidR="00CA50E1" w:rsidRPr="009E66C8">
        <w:t xml:space="preserve">the </w:t>
      </w:r>
      <w:r w:rsidR="000263F6">
        <w:t>production of bakery products</w:t>
      </w:r>
      <w:r w:rsidR="00151B6F">
        <w:t>,</w:t>
      </w:r>
      <w:r w:rsidR="000263F6">
        <w:t xml:space="preserve"> and cereal-based </w:t>
      </w:r>
      <w:r w:rsidR="009D38AA">
        <w:t>beverages and foods</w:t>
      </w:r>
      <w:r w:rsidR="000263F6">
        <w:t xml:space="preserve"> is</w:t>
      </w:r>
      <w:r w:rsidRPr="009E66C8">
        <w:t xml:space="preserve"> clearly articulated in the application. The evidence presented to support the proposed uses provides adequate assurance that the enzyme, in the form and prescribed amounts, is technologically justified and has been demonstrated to be effective in achieving its stated purpose. The stated purpose is to hydrolyse </w:t>
      </w:r>
      <w:r w:rsidR="00CA50E1" w:rsidRPr="009E66C8">
        <w:t xml:space="preserve">triacylglycerols into mono- and diacylglycerols in the </w:t>
      </w:r>
      <w:r w:rsidR="00CD718F">
        <w:t xml:space="preserve">production of </w:t>
      </w:r>
      <w:r w:rsidR="000263F6">
        <w:t>bakery products</w:t>
      </w:r>
      <w:r w:rsidR="00CD718F">
        <w:t xml:space="preserve"> and cereal-based </w:t>
      </w:r>
      <w:r w:rsidR="009D38AA">
        <w:t>beverages and foods</w:t>
      </w:r>
      <w:r w:rsidRPr="009E66C8">
        <w:t xml:space="preserve">. The enzyme performs its technological purpose during </w:t>
      </w:r>
      <w:r w:rsidR="00BF56A2">
        <w:t xml:space="preserve">the </w:t>
      </w:r>
      <w:r w:rsidRPr="009E66C8">
        <w:t>production and manufacture of foods after which it is inactivated thereby not performing a technological function in the final food. It is therefore appropriately categorised as a processing aid and not a food additive. The enzyme preparation meets international purity specifications.</w:t>
      </w:r>
    </w:p>
    <w:p w14:paraId="5B2C9CE0" w14:textId="66AA824F" w:rsidR="00CA3849" w:rsidRPr="001E6A7B" w:rsidRDefault="00CA3849" w:rsidP="00BD59CB">
      <w:pPr>
        <w:pStyle w:val="Heading1"/>
        <w:ind w:left="567" w:hanging="567"/>
      </w:pPr>
      <w:bookmarkStart w:id="21" w:name="_Toc505255637"/>
      <w:bookmarkStart w:id="22" w:name="_Toc4152931"/>
      <w:r w:rsidRPr="001E6A7B">
        <w:t>3</w:t>
      </w:r>
      <w:r w:rsidR="00BD59CB">
        <w:tab/>
      </w:r>
      <w:r w:rsidRPr="001E6A7B">
        <w:t>Safety assessment</w:t>
      </w:r>
      <w:bookmarkStart w:id="23" w:name="_Toc471740081"/>
      <w:bookmarkStart w:id="24" w:name="_Toc499282437"/>
      <w:bookmarkEnd w:id="21"/>
      <w:bookmarkEnd w:id="22"/>
    </w:p>
    <w:p w14:paraId="598B1BDC" w14:textId="25EC7493" w:rsidR="00CA3849" w:rsidRPr="00194F94" w:rsidRDefault="00CA3849" w:rsidP="00BD59CB">
      <w:pPr>
        <w:pStyle w:val="Heading2"/>
      </w:pPr>
      <w:bookmarkStart w:id="25" w:name="_Toc505255638"/>
      <w:bookmarkStart w:id="26" w:name="_Toc4152932"/>
      <w:r w:rsidRPr="00194F94">
        <w:t>3.1</w:t>
      </w:r>
      <w:r w:rsidR="001E6A7B" w:rsidRPr="00194F94">
        <w:tab/>
      </w:r>
      <w:r w:rsidRPr="00194F94">
        <w:t>Objectives for safety assessment</w:t>
      </w:r>
      <w:bookmarkEnd w:id="25"/>
      <w:bookmarkEnd w:id="26"/>
      <w:r w:rsidRPr="00194F94">
        <w:t xml:space="preserve"> </w:t>
      </w:r>
    </w:p>
    <w:p w14:paraId="3A784B27" w14:textId="207920D9" w:rsidR="00CF1E6E" w:rsidRPr="00194F94" w:rsidRDefault="00CF1E6E" w:rsidP="00CF1E6E">
      <w:r w:rsidRPr="00194F94">
        <w:rPr>
          <w:lang w:eastAsia="en-AU" w:bidi="ar-SA"/>
        </w:rPr>
        <w:t xml:space="preserve">The objectives of this safety assessment for </w:t>
      </w:r>
      <w:r w:rsidR="00BE1FE0" w:rsidRPr="00194F94">
        <w:rPr>
          <w:rFonts w:cs="Arial"/>
        </w:rPr>
        <w:t>triacylglycerol lipase</w:t>
      </w:r>
      <w:r w:rsidRPr="00194F94">
        <w:rPr>
          <w:rFonts w:cs="Arial"/>
        </w:rPr>
        <w:t xml:space="preserve"> </w:t>
      </w:r>
      <w:r w:rsidRPr="00194F94">
        <w:rPr>
          <w:lang w:eastAsia="en-AU" w:bidi="ar-SA"/>
        </w:rPr>
        <w:t xml:space="preserve">are to </w:t>
      </w:r>
      <w:r w:rsidRPr="00194F94">
        <w:t>evaluate any potential public health and safety concerns that may arise from the use of this enzyme</w:t>
      </w:r>
      <w:r w:rsidRPr="00194F94">
        <w:rPr>
          <w:lang w:eastAsia="en-AU"/>
        </w:rPr>
        <w:t xml:space="preserve">, produced by a genetically modified organism, </w:t>
      </w:r>
      <w:r w:rsidRPr="00194F94">
        <w:t xml:space="preserve">as a processing aid. </w:t>
      </w:r>
      <w:r w:rsidR="00E43F97">
        <w:t>Specifically by considering the:</w:t>
      </w:r>
    </w:p>
    <w:p w14:paraId="33E7FCFF" w14:textId="77777777" w:rsidR="00CF1E6E" w:rsidRPr="00194F94" w:rsidRDefault="00CF1E6E" w:rsidP="00CF1E6E"/>
    <w:p w14:paraId="65E196B4" w14:textId="224115ED" w:rsidR="00CF1E6E" w:rsidRPr="00194F94" w:rsidRDefault="00CF1E6E" w:rsidP="00CF1E6E">
      <w:pPr>
        <w:pStyle w:val="FSBullet1"/>
        <w:ind w:left="360" w:hanging="360"/>
      </w:pPr>
      <w:r w:rsidRPr="00194F94">
        <w:t>history of use of th</w:t>
      </w:r>
      <w:r w:rsidR="00E43F97">
        <w:t>e host and gene donor organisms</w:t>
      </w:r>
    </w:p>
    <w:p w14:paraId="1A5F6FF4" w14:textId="0B9622A6" w:rsidR="00CF1E6E" w:rsidRPr="00194F94" w:rsidRDefault="00CF1E6E" w:rsidP="00CF1E6E">
      <w:pPr>
        <w:pStyle w:val="FSBullet1"/>
        <w:ind w:left="360" w:hanging="360"/>
      </w:pPr>
      <w:r w:rsidRPr="00194F94">
        <w:t>characterisation of the g</w:t>
      </w:r>
      <w:r w:rsidR="00E43F97">
        <w:t>enetic modification(s)</w:t>
      </w:r>
    </w:p>
    <w:p w14:paraId="486E7A5F" w14:textId="7EF36CB4" w:rsidR="00CF1E6E" w:rsidRPr="00194F94" w:rsidRDefault="00CF1E6E" w:rsidP="00CF1E6E">
      <w:pPr>
        <w:pStyle w:val="FSBullet1"/>
        <w:ind w:left="360" w:hanging="360"/>
      </w:pPr>
      <w:r w:rsidRPr="00194F94">
        <w:t>safety of the enzyme.</w:t>
      </w:r>
    </w:p>
    <w:p w14:paraId="3D6D4F4C" w14:textId="2A320A26" w:rsidR="00CA3849" w:rsidRPr="006C2969" w:rsidRDefault="00CA3849" w:rsidP="00BD59CB">
      <w:pPr>
        <w:pStyle w:val="Heading2"/>
      </w:pPr>
      <w:bookmarkStart w:id="27" w:name="_Toc471740085"/>
      <w:bookmarkStart w:id="28" w:name="_Toc499282440"/>
      <w:bookmarkStart w:id="29" w:name="_Toc505255639"/>
      <w:bookmarkStart w:id="30" w:name="_Toc4152933"/>
      <w:bookmarkEnd w:id="23"/>
      <w:bookmarkEnd w:id="24"/>
      <w:r w:rsidRPr="006C2969">
        <w:t>3.2</w:t>
      </w:r>
      <w:bookmarkEnd w:id="27"/>
      <w:r w:rsidR="001E6A7B">
        <w:tab/>
      </w:r>
      <w:r w:rsidRPr="006C2969">
        <w:t>History of use</w:t>
      </w:r>
      <w:bookmarkEnd w:id="28"/>
      <w:bookmarkEnd w:id="29"/>
      <w:bookmarkEnd w:id="30"/>
      <w:r w:rsidRPr="006C2969">
        <w:t xml:space="preserve"> </w:t>
      </w:r>
    </w:p>
    <w:p w14:paraId="2587F027" w14:textId="37B61C4E" w:rsidR="00CA3849" w:rsidRDefault="00CA3849" w:rsidP="00BD59CB">
      <w:pPr>
        <w:pStyle w:val="Heading3"/>
      </w:pPr>
      <w:bookmarkStart w:id="31" w:name="_Toc498940968"/>
      <w:bookmarkStart w:id="32" w:name="_Toc499282441"/>
      <w:bookmarkStart w:id="33" w:name="_Toc4152934"/>
      <w:r>
        <w:t>3.2.1</w:t>
      </w:r>
      <w:r w:rsidR="0035149D">
        <w:tab/>
      </w:r>
      <w:r>
        <w:t>Host organism</w:t>
      </w:r>
      <w:bookmarkEnd w:id="31"/>
      <w:bookmarkEnd w:id="32"/>
      <w:bookmarkEnd w:id="33"/>
      <w:r>
        <w:t xml:space="preserve"> </w:t>
      </w:r>
    </w:p>
    <w:p w14:paraId="6068BAAB" w14:textId="30825F67" w:rsidR="00BE1FE0" w:rsidRDefault="006229E5" w:rsidP="00BE1FE0">
      <w:pPr>
        <w:rPr>
          <w:lang w:eastAsia="en-AU" w:bidi="ar-SA"/>
        </w:rPr>
      </w:pPr>
      <w:r>
        <w:rPr>
          <w:i/>
          <w:lang w:eastAsia="en-AU" w:bidi="ar-SA"/>
        </w:rPr>
        <w:t xml:space="preserve">T. reesei </w:t>
      </w:r>
      <w:r>
        <w:rPr>
          <w:lang w:eastAsia="en-AU" w:bidi="ar-SA"/>
        </w:rPr>
        <w:t xml:space="preserve"> was first isolated from </w:t>
      </w:r>
      <w:r w:rsidR="00A75124">
        <w:rPr>
          <w:lang w:eastAsia="en-AU" w:bidi="ar-SA"/>
        </w:rPr>
        <w:t xml:space="preserve">canvas made from </w:t>
      </w:r>
      <w:r w:rsidR="00CD42E6">
        <w:rPr>
          <w:lang w:eastAsia="en-AU" w:bidi="ar-SA"/>
        </w:rPr>
        <w:t>cotton</w:t>
      </w:r>
      <w:r w:rsidR="00477B55">
        <w:rPr>
          <w:lang w:eastAsia="en-AU" w:bidi="ar-SA"/>
        </w:rPr>
        <w:t xml:space="preserve">, and the original isolate QM6a is the type strain for </w:t>
      </w:r>
      <w:r w:rsidR="00477B55">
        <w:rPr>
          <w:i/>
          <w:lang w:eastAsia="en-AU" w:bidi="ar-SA"/>
        </w:rPr>
        <w:t>T. reesei</w:t>
      </w:r>
      <w:r w:rsidR="00CD42E6">
        <w:rPr>
          <w:lang w:eastAsia="en-AU" w:bidi="ar-SA"/>
        </w:rPr>
        <w:t xml:space="preserve"> (Olempska-Beer </w:t>
      </w:r>
      <w:r w:rsidR="00CD42E6" w:rsidRPr="00CD42E6">
        <w:rPr>
          <w:i/>
          <w:lang w:eastAsia="en-AU" w:bidi="ar-SA"/>
        </w:rPr>
        <w:t>et al</w:t>
      </w:r>
      <w:r w:rsidR="00CD42E6">
        <w:rPr>
          <w:lang w:eastAsia="en-AU" w:bidi="ar-SA"/>
        </w:rPr>
        <w:t xml:space="preserve">., 2006). In humans </w:t>
      </w:r>
      <w:r w:rsidR="00656CF6">
        <w:rPr>
          <w:i/>
          <w:lang w:eastAsia="en-AU" w:bidi="ar-SA"/>
        </w:rPr>
        <w:t>T. </w:t>
      </w:r>
      <w:r w:rsidR="00CD42E6">
        <w:rPr>
          <w:i/>
          <w:lang w:eastAsia="en-AU" w:bidi="ar-SA"/>
        </w:rPr>
        <w:t xml:space="preserve">reesei </w:t>
      </w:r>
      <w:r w:rsidR="00CD42E6">
        <w:rPr>
          <w:lang w:eastAsia="en-AU" w:bidi="ar-SA"/>
        </w:rPr>
        <w:t xml:space="preserve"> is not pathogenic</w:t>
      </w:r>
      <w:r w:rsidR="00656CF6">
        <w:rPr>
          <w:lang w:eastAsia="en-AU" w:bidi="ar-SA"/>
        </w:rPr>
        <w:t>. Although some</w:t>
      </w:r>
      <w:r w:rsidR="00656CF6">
        <w:rPr>
          <w:i/>
          <w:lang w:eastAsia="en-AU" w:bidi="ar-SA"/>
        </w:rPr>
        <w:t xml:space="preserve"> T. reesei </w:t>
      </w:r>
      <w:r w:rsidR="00CD42E6">
        <w:rPr>
          <w:lang w:eastAsia="en-AU" w:bidi="ar-SA"/>
        </w:rPr>
        <w:t xml:space="preserve"> </w:t>
      </w:r>
      <w:r w:rsidR="00656CF6">
        <w:rPr>
          <w:lang w:eastAsia="en-AU" w:bidi="ar-SA"/>
        </w:rPr>
        <w:t>strains can produce mycotoxins,</w:t>
      </w:r>
      <w:r w:rsidR="00447871">
        <w:rPr>
          <w:lang w:eastAsia="en-AU" w:bidi="ar-SA"/>
        </w:rPr>
        <w:t xml:space="preserve"> most industrial production strains</w:t>
      </w:r>
      <w:r w:rsidR="00656CF6">
        <w:rPr>
          <w:lang w:eastAsia="en-AU" w:bidi="ar-SA"/>
        </w:rPr>
        <w:t xml:space="preserve"> </w:t>
      </w:r>
      <w:r w:rsidR="00447871">
        <w:rPr>
          <w:lang w:eastAsia="en-AU" w:bidi="ar-SA"/>
        </w:rPr>
        <w:t xml:space="preserve">do </w:t>
      </w:r>
      <w:r w:rsidR="00656CF6">
        <w:rPr>
          <w:lang w:eastAsia="en-AU" w:bidi="ar-SA"/>
        </w:rPr>
        <w:t xml:space="preserve">not produce </w:t>
      </w:r>
      <w:r w:rsidR="00D30CE3">
        <w:rPr>
          <w:lang w:eastAsia="en-AU" w:bidi="ar-SA"/>
        </w:rPr>
        <w:t>myco</w:t>
      </w:r>
      <w:r w:rsidR="00656CF6">
        <w:rPr>
          <w:lang w:eastAsia="en-AU" w:bidi="ar-SA"/>
        </w:rPr>
        <w:t xml:space="preserve">toxin or antibiotics under conditions used for enzyme production </w:t>
      </w:r>
      <w:r w:rsidR="00CD42E6">
        <w:rPr>
          <w:lang w:eastAsia="en-AU" w:bidi="ar-SA"/>
        </w:rPr>
        <w:t xml:space="preserve">(Nevalainen </w:t>
      </w:r>
      <w:r w:rsidR="00CD42E6">
        <w:rPr>
          <w:i/>
          <w:lang w:eastAsia="en-AU" w:bidi="ar-SA"/>
        </w:rPr>
        <w:t xml:space="preserve">et al. </w:t>
      </w:r>
      <w:r w:rsidR="00CD42E6">
        <w:rPr>
          <w:lang w:eastAsia="en-AU" w:bidi="ar-SA"/>
        </w:rPr>
        <w:t>1994; Blumenthal 2004)</w:t>
      </w:r>
      <w:r w:rsidR="00A75124">
        <w:rPr>
          <w:lang w:eastAsia="en-AU" w:bidi="ar-SA"/>
        </w:rPr>
        <w:t>.</w:t>
      </w:r>
    </w:p>
    <w:p w14:paraId="4E3A04B2" w14:textId="41F9F485" w:rsidR="006229E5" w:rsidRDefault="006229E5" w:rsidP="00BE1FE0">
      <w:pPr>
        <w:rPr>
          <w:lang w:eastAsia="en-AU" w:bidi="ar-SA"/>
        </w:rPr>
      </w:pPr>
    </w:p>
    <w:p w14:paraId="2D267479" w14:textId="58283B8A" w:rsidR="006229E5" w:rsidRDefault="006229E5" w:rsidP="00BE1FE0">
      <w:pPr>
        <w:rPr>
          <w:rFonts w:cs="Arial"/>
          <w:szCs w:val="22"/>
        </w:rPr>
      </w:pPr>
      <w:r>
        <w:rPr>
          <w:lang w:eastAsia="en-AU" w:bidi="ar-SA"/>
        </w:rPr>
        <w:t xml:space="preserve">FSANZ has previously assessed the safety of </w:t>
      </w:r>
      <w:r>
        <w:rPr>
          <w:i/>
          <w:lang w:eastAsia="en-AU" w:bidi="ar-SA"/>
        </w:rPr>
        <w:t xml:space="preserve">T. reesei </w:t>
      </w:r>
      <w:r>
        <w:rPr>
          <w:lang w:eastAsia="en-AU" w:bidi="ar-SA"/>
        </w:rPr>
        <w:t xml:space="preserve">as the source organism for a number of enzymes used as processing aids. </w:t>
      </w:r>
      <w:r w:rsidRPr="00993E2D">
        <w:rPr>
          <w:rFonts w:cs="Arial"/>
          <w:szCs w:val="22"/>
          <w:lang w:eastAsia="en-AU" w:bidi="ar-SA"/>
        </w:rPr>
        <w:t>Schedule 18 to Standard 1.3.3 of the Code permits the use</w:t>
      </w:r>
      <w:r w:rsidR="00993E2D" w:rsidRPr="00993E2D">
        <w:rPr>
          <w:rFonts w:cs="Arial"/>
          <w:szCs w:val="22"/>
          <w:lang w:eastAsia="en-AU" w:bidi="ar-SA"/>
        </w:rPr>
        <w:t xml:space="preserve"> of the following enzymes derived from </w:t>
      </w:r>
      <w:r w:rsidR="00993E2D" w:rsidRPr="00993E2D">
        <w:rPr>
          <w:rFonts w:cs="Arial"/>
          <w:i/>
          <w:szCs w:val="22"/>
          <w:lang w:eastAsia="en-AU" w:bidi="ar-SA"/>
        </w:rPr>
        <w:t xml:space="preserve">T. reesei: </w:t>
      </w:r>
      <w:r w:rsidR="00993E2D">
        <w:rPr>
          <w:rFonts w:cs="Arial"/>
          <w:szCs w:val="22"/>
        </w:rPr>
        <w:t>c</w:t>
      </w:r>
      <w:r w:rsidR="00993E2D" w:rsidRPr="00993E2D">
        <w:rPr>
          <w:rFonts w:cs="Arial"/>
          <w:szCs w:val="22"/>
        </w:rPr>
        <w:t xml:space="preserve">ellulase, </w:t>
      </w:r>
      <w:r w:rsidR="00993E2D">
        <w:rPr>
          <w:rFonts w:cs="Arial"/>
          <w:szCs w:val="22"/>
        </w:rPr>
        <w:t>e</w:t>
      </w:r>
      <w:r w:rsidR="00993E2D" w:rsidRPr="00993E2D">
        <w:rPr>
          <w:rFonts w:cs="Arial"/>
          <w:szCs w:val="22"/>
        </w:rPr>
        <w:t xml:space="preserve">ndo-1,4-beta-xylanase, </w:t>
      </w:r>
      <w:r w:rsidR="00993E2D">
        <w:rPr>
          <w:rFonts w:cs="Arial"/>
          <w:szCs w:val="22"/>
        </w:rPr>
        <w:t>β-g</w:t>
      </w:r>
      <w:r w:rsidR="00993E2D" w:rsidRPr="00993E2D">
        <w:rPr>
          <w:rFonts w:cs="Arial"/>
          <w:szCs w:val="22"/>
        </w:rPr>
        <w:t xml:space="preserve">lucanase, </w:t>
      </w:r>
      <w:r w:rsidR="00993E2D">
        <w:rPr>
          <w:rFonts w:cs="Arial"/>
          <w:szCs w:val="22"/>
        </w:rPr>
        <w:t>h</w:t>
      </w:r>
      <w:r w:rsidR="00993E2D" w:rsidRPr="00993E2D">
        <w:rPr>
          <w:rFonts w:cs="Arial"/>
          <w:szCs w:val="22"/>
        </w:rPr>
        <w:t>emicellulase multicomponent enzyme</w:t>
      </w:r>
      <w:r w:rsidR="00993E2D">
        <w:rPr>
          <w:rFonts w:cs="Arial"/>
          <w:szCs w:val="22"/>
        </w:rPr>
        <w:t xml:space="preserve"> and polygalacturonase or p</w:t>
      </w:r>
      <w:r w:rsidR="00993E2D" w:rsidRPr="00993E2D">
        <w:rPr>
          <w:rFonts w:cs="Arial"/>
          <w:szCs w:val="22"/>
        </w:rPr>
        <w:t>ectinase multicomponent enzyme</w:t>
      </w:r>
      <w:r w:rsidR="00993E2D">
        <w:rPr>
          <w:rFonts w:cs="Arial"/>
          <w:szCs w:val="22"/>
        </w:rPr>
        <w:t>.</w:t>
      </w:r>
    </w:p>
    <w:p w14:paraId="702F4322" w14:textId="4EC211DB" w:rsidR="00CA3849" w:rsidRDefault="00CA3849" w:rsidP="00BD59CB">
      <w:pPr>
        <w:pStyle w:val="Heading3"/>
      </w:pPr>
      <w:bookmarkStart w:id="34" w:name="_Toc498940969"/>
      <w:bookmarkStart w:id="35" w:name="_Toc499282442"/>
      <w:bookmarkStart w:id="36" w:name="_Toc4152935"/>
      <w:r>
        <w:t>3.2.2</w:t>
      </w:r>
      <w:r w:rsidR="0035149D">
        <w:tab/>
      </w:r>
      <w:r>
        <w:t>Gene donor organism(s)</w:t>
      </w:r>
      <w:bookmarkEnd w:id="34"/>
      <w:bookmarkEnd w:id="35"/>
      <w:bookmarkEnd w:id="36"/>
      <w:r>
        <w:t xml:space="preserve"> </w:t>
      </w:r>
    </w:p>
    <w:p w14:paraId="0508260A" w14:textId="441BD85F" w:rsidR="003D244F" w:rsidRPr="003D244F" w:rsidRDefault="003D244F" w:rsidP="00953BF3">
      <w:pPr>
        <w:widowControl/>
        <w:autoSpaceDE w:val="0"/>
        <w:autoSpaceDN w:val="0"/>
        <w:adjustRightInd w:val="0"/>
        <w:rPr>
          <w:i/>
          <w:lang w:eastAsia="en-AU" w:bidi="ar-SA"/>
        </w:rPr>
      </w:pPr>
      <w:r w:rsidRPr="002B14BA">
        <w:rPr>
          <w:i/>
          <w:lang w:eastAsia="en-AU" w:bidi="ar-SA"/>
        </w:rPr>
        <w:t>Aspergillus</w:t>
      </w:r>
      <w:r>
        <w:rPr>
          <w:i/>
          <w:lang w:eastAsia="en-AU" w:bidi="ar-SA"/>
        </w:rPr>
        <w:t xml:space="preserve"> niger var. tubingensis</w:t>
      </w:r>
    </w:p>
    <w:p w14:paraId="2D7F92C5" w14:textId="77777777" w:rsidR="003D244F" w:rsidRDefault="003D244F" w:rsidP="00953BF3">
      <w:pPr>
        <w:widowControl/>
        <w:autoSpaceDE w:val="0"/>
        <w:autoSpaceDN w:val="0"/>
        <w:adjustRightInd w:val="0"/>
        <w:rPr>
          <w:lang w:eastAsia="en-AU" w:bidi="ar-SA"/>
        </w:rPr>
      </w:pPr>
    </w:p>
    <w:p w14:paraId="6DC4294A" w14:textId="56ABDE85" w:rsidR="002B14BA" w:rsidRDefault="002B14BA" w:rsidP="00953BF3">
      <w:pPr>
        <w:widowControl/>
        <w:autoSpaceDE w:val="0"/>
        <w:autoSpaceDN w:val="0"/>
        <w:adjustRightInd w:val="0"/>
        <w:rPr>
          <w:lang w:eastAsia="en-AU" w:bidi="ar-SA"/>
        </w:rPr>
      </w:pPr>
      <w:r>
        <w:rPr>
          <w:lang w:eastAsia="en-AU" w:bidi="ar-SA"/>
        </w:rPr>
        <w:t xml:space="preserve">The gene sequence for the lipase 3 gene is from </w:t>
      </w:r>
      <w:r w:rsidRPr="002B14BA">
        <w:rPr>
          <w:i/>
          <w:lang w:eastAsia="en-AU" w:bidi="ar-SA"/>
        </w:rPr>
        <w:t>Aspergillus</w:t>
      </w:r>
      <w:r>
        <w:rPr>
          <w:i/>
          <w:lang w:eastAsia="en-AU" w:bidi="ar-SA"/>
        </w:rPr>
        <w:t xml:space="preserve"> niger var. tubingensis.</w:t>
      </w:r>
      <w:r w:rsidR="004138E9">
        <w:rPr>
          <w:i/>
          <w:lang w:eastAsia="en-AU" w:bidi="ar-SA"/>
        </w:rPr>
        <w:t xml:space="preserve"> </w:t>
      </w:r>
      <w:r w:rsidR="00866615">
        <w:rPr>
          <w:lang w:eastAsia="en-AU" w:bidi="ar-SA"/>
        </w:rPr>
        <w:t xml:space="preserve">FSANZ </w:t>
      </w:r>
      <w:r w:rsidR="00866615" w:rsidRPr="00953BF3">
        <w:rPr>
          <w:szCs w:val="22"/>
          <w:lang w:eastAsia="en-AU" w:bidi="ar-SA"/>
        </w:rPr>
        <w:t xml:space="preserve">has previously assessed the safety of </w:t>
      </w:r>
      <w:r w:rsidR="00866615" w:rsidRPr="00953BF3">
        <w:rPr>
          <w:i/>
          <w:szCs w:val="22"/>
          <w:lang w:eastAsia="en-AU" w:bidi="ar-SA"/>
        </w:rPr>
        <w:t xml:space="preserve">Aspergillus niger </w:t>
      </w:r>
      <w:r w:rsidR="00866615" w:rsidRPr="00953BF3">
        <w:rPr>
          <w:szCs w:val="22"/>
          <w:lang w:eastAsia="en-AU" w:bidi="ar-SA"/>
        </w:rPr>
        <w:t xml:space="preserve">for a number of enzymes used as processing aids. </w:t>
      </w:r>
      <w:r w:rsidR="00866615" w:rsidRPr="00953BF3">
        <w:rPr>
          <w:rFonts w:cs="Arial"/>
          <w:szCs w:val="22"/>
          <w:lang w:eastAsia="en-AU" w:bidi="ar-SA"/>
        </w:rPr>
        <w:t>Schedule 18 to Standard 1.3.3 of the Code permits the use of the following enzymes derived from</w:t>
      </w:r>
      <w:r w:rsidR="00866615" w:rsidRPr="00953BF3">
        <w:rPr>
          <w:szCs w:val="22"/>
          <w:lang w:eastAsia="en-AU" w:bidi="ar-SA"/>
        </w:rPr>
        <w:t xml:space="preserve"> </w:t>
      </w:r>
      <w:r w:rsidR="00866615" w:rsidRPr="00953BF3">
        <w:rPr>
          <w:i/>
          <w:szCs w:val="22"/>
          <w:lang w:eastAsia="en-AU" w:bidi="ar-SA"/>
        </w:rPr>
        <w:t>A. niger</w:t>
      </w:r>
      <w:r w:rsidR="00866615" w:rsidRPr="00953BF3">
        <w:rPr>
          <w:szCs w:val="22"/>
          <w:lang w:eastAsia="en-AU" w:bidi="ar-SA"/>
        </w:rPr>
        <w:t xml:space="preserve">: </w:t>
      </w:r>
      <w:r w:rsidR="00953BF3">
        <w:rPr>
          <w:rFonts w:cs="Arial"/>
          <w:szCs w:val="22"/>
          <w:lang w:eastAsia="en-GB" w:bidi="ar-SA"/>
        </w:rPr>
        <w:t>α-a</w:t>
      </w:r>
      <w:r w:rsidR="00866615" w:rsidRPr="00953BF3">
        <w:rPr>
          <w:rFonts w:cs="Arial"/>
          <w:szCs w:val="22"/>
          <w:lang w:eastAsia="en-GB" w:bidi="ar-SA"/>
        </w:rPr>
        <w:t>mylase</w:t>
      </w:r>
      <w:r w:rsidR="00866615" w:rsidRPr="00953BF3">
        <w:rPr>
          <w:szCs w:val="22"/>
          <w:lang w:eastAsia="en-AU" w:bidi="ar-SA"/>
        </w:rPr>
        <w:t xml:space="preserve">, </w:t>
      </w:r>
      <w:r w:rsidR="00953BF3">
        <w:rPr>
          <w:rFonts w:cs="Arial"/>
          <w:szCs w:val="22"/>
          <w:lang w:eastAsia="en-GB" w:bidi="ar-SA"/>
        </w:rPr>
        <w:t>α-arabinofuranosidase, asparaginase, a</w:t>
      </w:r>
      <w:r w:rsidR="00866615" w:rsidRPr="00953BF3">
        <w:rPr>
          <w:rFonts w:cs="Arial"/>
          <w:szCs w:val="22"/>
          <w:lang w:eastAsia="en-GB" w:bidi="ar-SA"/>
        </w:rPr>
        <w:t>sp</w:t>
      </w:r>
      <w:r w:rsidR="00953BF3">
        <w:rPr>
          <w:rFonts w:cs="Arial"/>
          <w:szCs w:val="22"/>
          <w:lang w:eastAsia="en-GB" w:bidi="ar-SA"/>
        </w:rPr>
        <w:t>ergillopepsin I, aspergillopepsin II, catalase, cellulase, chymosin. endo-1,4-beta-xylanase, e</w:t>
      </w:r>
      <w:r w:rsidR="00866615" w:rsidRPr="00953BF3">
        <w:rPr>
          <w:rFonts w:cs="Arial"/>
          <w:szCs w:val="22"/>
          <w:lang w:eastAsia="en-GB" w:bidi="ar-SA"/>
        </w:rPr>
        <w:t>ndo-arabinase</w:t>
      </w:r>
      <w:r w:rsidR="00953BF3">
        <w:rPr>
          <w:rFonts w:cs="Arial"/>
          <w:szCs w:val="22"/>
          <w:lang w:eastAsia="en-GB" w:bidi="ar-SA"/>
        </w:rPr>
        <w:t>, endo-protease, β-fructofuranosidase, α-galactosidase, β-galactosidase, β-glucanase, glucoamylase, glucose oxidase, α-g</w:t>
      </w:r>
      <w:r w:rsidR="00751F82" w:rsidRPr="00953BF3">
        <w:rPr>
          <w:rFonts w:cs="Arial"/>
          <w:szCs w:val="22"/>
          <w:lang w:eastAsia="en-GB" w:bidi="ar-SA"/>
        </w:rPr>
        <w:t xml:space="preserve">lucosidase, </w:t>
      </w:r>
      <w:r w:rsidR="00953BF3" w:rsidRPr="00953BF3">
        <w:rPr>
          <w:rFonts w:cs="Arial"/>
          <w:szCs w:val="22"/>
          <w:lang w:eastAsia="en-GB" w:bidi="ar-SA"/>
        </w:rPr>
        <w:t>β</w:t>
      </w:r>
      <w:r w:rsidR="00953BF3">
        <w:rPr>
          <w:rFonts w:cs="Arial"/>
          <w:szCs w:val="22"/>
          <w:lang w:eastAsia="en-GB" w:bidi="ar-SA"/>
        </w:rPr>
        <w:t>-g</w:t>
      </w:r>
      <w:r w:rsidR="00953BF3" w:rsidRPr="00953BF3">
        <w:rPr>
          <w:rFonts w:cs="Arial"/>
          <w:szCs w:val="22"/>
          <w:lang w:eastAsia="en-GB" w:bidi="ar-SA"/>
        </w:rPr>
        <w:t xml:space="preserve">lucosidase, </w:t>
      </w:r>
      <w:r w:rsidR="00953BF3">
        <w:rPr>
          <w:rFonts w:cs="Arial"/>
          <w:szCs w:val="22"/>
          <w:lang w:eastAsia="en-GB" w:bidi="ar-SA"/>
        </w:rPr>
        <w:t>h</w:t>
      </w:r>
      <w:r w:rsidR="00953BF3" w:rsidRPr="00953BF3">
        <w:rPr>
          <w:rFonts w:cs="Arial"/>
          <w:szCs w:val="22"/>
          <w:lang w:eastAsia="en-GB" w:bidi="ar-SA"/>
        </w:rPr>
        <w:t xml:space="preserve">emicellulase multicomponent enzyme, </w:t>
      </w:r>
      <w:r w:rsidR="00953BF3">
        <w:rPr>
          <w:rFonts w:cs="Arial"/>
          <w:szCs w:val="22"/>
          <w:lang w:eastAsia="en-GB" w:bidi="ar-SA"/>
        </w:rPr>
        <w:t>i</w:t>
      </w:r>
      <w:r w:rsidR="00953BF3" w:rsidRPr="00953BF3">
        <w:rPr>
          <w:rFonts w:cs="Arial"/>
          <w:szCs w:val="22"/>
          <w:lang w:eastAsia="en-GB" w:bidi="ar-SA"/>
        </w:rPr>
        <w:t>nulinase</w:t>
      </w:r>
      <w:r w:rsidR="00953BF3">
        <w:rPr>
          <w:rFonts w:cs="Arial"/>
          <w:szCs w:val="22"/>
          <w:lang w:eastAsia="en-GB" w:bidi="ar-SA"/>
        </w:rPr>
        <w:t>, l</w:t>
      </w:r>
      <w:r w:rsidR="00953BF3" w:rsidRPr="00953BF3">
        <w:rPr>
          <w:rFonts w:cs="Arial"/>
          <w:szCs w:val="22"/>
          <w:lang w:eastAsia="en-GB" w:bidi="ar-SA"/>
        </w:rPr>
        <w:t>ipas</w:t>
      </w:r>
      <w:r w:rsidR="00953BF3">
        <w:rPr>
          <w:rFonts w:cs="Arial"/>
          <w:szCs w:val="22"/>
          <w:lang w:eastAsia="en-GB" w:bidi="ar-SA"/>
        </w:rPr>
        <w:t>e</w:t>
      </w:r>
      <w:r w:rsidR="00953BF3" w:rsidRPr="00953BF3">
        <w:rPr>
          <w:rFonts w:cs="Arial"/>
          <w:szCs w:val="22"/>
          <w:lang w:eastAsia="en-GB" w:bidi="ar-SA"/>
        </w:rPr>
        <w:t xml:space="preserve"> triacylglycerol, </w:t>
      </w:r>
      <w:r w:rsidR="00953BF3">
        <w:rPr>
          <w:rFonts w:cs="Arial"/>
          <w:szCs w:val="22"/>
          <w:lang w:eastAsia="en-GB" w:bidi="ar-SA"/>
        </w:rPr>
        <w:t xml:space="preserve">lipase </w:t>
      </w:r>
      <w:r w:rsidR="00953BF3" w:rsidRPr="00953BF3">
        <w:rPr>
          <w:rFonts w:cs="Arial"/>
          <w:szCs w:val="22"/>
          <w:lang w:eastAsia="en-GB" w:bidi="ar-SA"/>
        </w:rPr>
        <w:t xml:space="preserve">triacylglycerol, protein engineered variant, </w:t>
      </w:r>
      <w:r w:rsidR="00953BF3">
        <w:rPr>
          <w:rFonts w:cs="Arial"/>
          <w:szCs w:val="22"/>
          <w:lang w:eastAsia="en-GB" w:bidi="ar-SA"/>
        </w:rPr>
        <w:t>l</w:t>
      </w:r>
      <w:r w:rsidR="00953BF3" w:rsidRPr="00953BF3">
        <w:rPr>
          <w:rFonts w:cs="Arial"/>
          <w:szCs w:val="22"/>
          <w:lang w:eastAsia="en-GB" w:bidi="ar-SA"/>
        </w:rPr>
        <w:t xml:space="preserve">ysophospholipase, </w:t>
      </w:r>
      <w:r w:rsidR="00953BF3">
        <w:rPr>
          <w:rFonts w:cs="Arial"/>
          <w:szCs w:val="22"/>
          <w:lang w:eastAsia="en-GB" w:bidi="ar-SA"/>
        </w:rPr>
        <w:t>p</w:t>
      </w:r>
      <w:r w:rsidR="00953BF3" w:rsidRPr="00953BF3">
        <w:rPr>
          <w:rFonts w:cs="Arial"/>
          <w:szCs w:val="22"/>
          <w:lang w:eastAsia="en-GB" w:bidi="ar-SA"/>
        </w:rPr>
        <w:t xml:space="preserve">ectin lyase, </w:t>
      </w:r>
      <w:r w:rsidR="00953BF3">
        <w:rPr>
          <w:rFonts w:cs="Arial"/>
          <w:szCs w:val="22"/>
          <w:lang w:eastAsia="en-GB" w:bidi="ar-SA"/>
        </w:rPr>
        <w:t>p</w:t>
      </w:r>
      <w:r w:rsidR="00953BF3" w:rsidRPr="00953BF3">
        <w:rPr>
          <w:rFonts w:cs="Arial"/>
          <w:szCs w:val="22"/>
          <w:lang w:eastAsia="en-GB" w:bidi="ar-SA"/>
        </w:rPr>
        <w:t xml:space="preserve">ectinesterase, </w:t>
      </w:r>
      <w:r w:rsidR="00953BF3">
        <w:rPr>
          <w:rFonts w:cs="Arial"/>
          <w:szCs w:val="22"/>
          <w:lang w:eastAsia="en-GB" w:bidi="ar-SA"/>
        </w:rPr>
        <w:t>p</w:t>
      </w:r>
      <w:r w:rsidR="00953BF3" w:rsidRPr="00953BF3">
        <w:rPr>
          <w:rFonts w:cs="Arial"/>
          <w:szCs w:val="22"/>
          <w:lang w:eastAsia="en-GB" w:bidi="ar-SA"/>
        </w:rPr>
        <w:t xml:space="preserve">hospholipase A2, </w:t>
      </w:r>
      <w:r w:rsidR="00953BF3">
        <w:rPr>
          <w:rFonts w:cs="Arial"/>
          <w:szCs w:val="22"/>
          <w:lang w:eastAsia="en-GB" w:bidi="ar-SA"/>
        </w:rPr>
        <w:t>3-p</w:t>
      </w:r>
      <w:r w:rsidR="00953BF3" w:rsidRPr="00953BF3">
        <w:rPr>
          <w:rFonts w:cs="Arial"/>
          <w:szCs w:val="22"/>
          <w:lang w:eastAsia="en-GB" w:bidi="ar-SA"/>
        </w:rPr>
        <w:t xml:space="preserve">hytase, </w:t>
      </w:r>
      <w:r w:rsidR="00953BF3">
        <w:rPr>
          <w:rFonts w:cs="Arial"/>
          <w:szCs w:val="22"/>
          <w:lang w:eastAsia="en-GB" w:bidi="ar-SA"/>
        </w:rPr>
        <w:t>polygalacturonase or p</w:t>
      </w:r>
      <w:r w:rsidR="00953BF3" w:rsidRPr="00953BF3">
        <w:rPr>
          <w:rFonts w:cs="Arial"/>
          <w:szCs w:val="22"/>
          <w:lang w:eastAsia="en-GB" w:bidi="ar-SA"/>
        </w:rPr>
        <w:t xml:space="preserve">ectinase multicomponent enzyme, </w:t>
      </w:r>
      <w:r w:rsidR="00953BF3">
        <w:rPr>
          <w:rFonts w:cs="Arial"/>
          <w:szCs w:val="22"/>
          <w:lang w:eastAsia="en-GB" w:bidi="ar-SA"/>
        </w:rPr>
        <w:t>t</w:t>
      </w:r>
      <w:r w:rsidR="00953BF3" w:rsidRPr="00953BF3">
        <w:rPr>
          <w:rFonts w:cs="Arial"/>
          <w:szCs w:val="22"/>
          <w:lang w:eastAsia="en-GB" w:bidi="ar-SA"/>
        </w:rPr>
        <w:t>ransglucosidase</w:t>
      </w:r>
      <w:r w:rsidR="00953BF3">
        <w:rPr>
          <w:rFonts w:cs="Arial"/>
          <w:szCs w:val="22"/>
          <w:lang w:eastAsia="en-GB" w:bidi="ar-SA"/>
        </w:rPr>
        <w:t xml:space="preserve">. </w:t>
      </w:r>
      <w:r w:rsidR="00360987">
        <w:rPr>
          <w:lang w:eastAsia="en-AU" w:bidi="ar-SA"/>
        </w:rPr>
        <w:t xml:space="preserve">The NCBI Protein BLAST </w:t>
      </w:r>
      <w:r w:rsidR="004138E9">
        <w:rPr>
          <w:lang w:eastAsia="en-AU" w:bidi="ar-SA"/>
        </w:rPr>
        <w:t xml:space="preserve">search of the lipase 3 gene sequence returned 98% identity to </w:t>
      </w:r>
      <w:r w:rsidR="004138E9">
        <w:rPr>
          <w:i/>
          <w:lang w:eastAsia="en-AU" w:bidi="ar-SA"/>
        </w:rPr>
        <w:t>A</w:t>
      </w:r>
      <w:r w:rsidR="00953BF3">
        <w:rPr>
          <w:i/>
          <w:lang w:eastAsia="en-AU" w:bidi="ar-SA"/>
        </w:rPr>
        <w:t>. </w:t>
      </w:r>
      <w:r w:rsidR="004138E9">
        <w:rPr>
          <w:i/>
          <w:lang w:eastAsia="en-AU" w:bidi="ar-SA"/>
        </w:rPr>
        <w:t xml:space="preserve">niger </w:t>
      </w:r>
      <w:r w:rsidR="004138E9">
        <w:rPr>
          <w:lang w:eastAsia="en-AU" w:bidi="ar-SA"/>
        </w:rPr>
        <w:t>lipase.</w:t>
      </w:r>
    </w:p>
    <w:p w14:paraId="1FA55466" w14:textId="7638A6F1" w:rsidR="00944F9B" w:rsidRDefault="00944F9B" w:rsidP="00953BF3">
      <w:pPr>
        <w:widowControl/>
        <w:autoSpaceDE w:val="0"/>
        <w:autoSpaceDN w:val="0"/>
        <w:adjustRightInd w:val="0"/>
        <w:rPr>
          <w:rFonts w:cs="Arial"/>
          <w:szCs w:val="22"/>
          <w:lang w:eastAsia="en-GB" w:bidi="ar-SA"/>
        </w:rPr>
      </w:pPr>
    </w:p>
    <w:p w14:paraId="0FE88F49" w14:textId="77777777" w:rsidR="003D244F" w:rsidRDefault="003D244F" w:rsidP="003D244F">
      <w:pPr>
        <w:spacing w:line="20" w:lineRule="atLeast"/>
        <w:rPr>
          <w:rFonts w:cs="Arial"/>
          <w:color w:val="000000" w:themeColor="text1"/>
        </w:rPr>
      </w:pPr>
      <w:r w:rsidRPr="004F42CE">
        <w:rPr>
          <w:rFonts w:cs="Arial"/>
          <w:i/>
          <w:color w:val="000000" w:themeColor="text1"/>
        </w:rPr>
        <w:t>Aspergillus nidulans</w:t>
      </w:r>
    </w:p>
    <w:p w14:paraId="67CDA84D" w14:textId="77777777" w:rsidR="003D244F" w:rsidRDefault="003D244F" w:rsidP="003D244F">
      <w:pPr>
        <w:spacing w:line="20" w:lineRule="atLeast"/>
        <w:rPr>
          <w:rFonts w:cs="Arial"/>
          <w:color w:val="000000" w:themeColor="text1"/>
        </w:rPr>
      </w:pPr>
    </w:p>
    <w:p w14:paraId="57BE886F" w14:textId="0029EB53" w:rsidR="003D244F" w:rsidRDefault="003D244F" w:rsidP="003D244F">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Pr>
          <w:rFonts w:cs="Arial"/>
          <w:color w:val="000000" w:themeColor="text1"/>
        </w:rPr>
        <w:t xml:space="preserve"> (Kelly and Hynes, 1985). The majority of </w:t>
      </w:r>
      <w:r w:rsidRPr="008156E7">
        <w:rPr>
          <w:rFonts w:cs="Arial"/>
          <w:i/>
          <w:color w:val="000000" w:themeColor="text1"/>
        </w:rPr>
        <w:t>A. nidulans</w:t>
      </w:r>
      <w:r>
        <w:rPr>
          <w:rFonts w:cs="Arial"/>
          <w:color w:val="000000" w:themeColor="text1"/>
        </w:rPr>
        <w:t xml:space="preserve"> strains have been classed at the Biosafety Level 1, however some strains have been associated with opportunistic infections in immunocompromised individuals (Gabrielli et al, 2014; Henriet et al. 2012). As the gene sequence has been manipulated through standard DNA cloning methods subsequent to the original isolation from the donor organism, extraneous material from </w:t>
      </w:r>
      <w:r w:rsidRPr="008156E7">
        <w:rPr>
          <w:rFonts w:cs="Arial"/>
          <w:i/>
          <w:color w:val="000000" w:themeColor="text1"/>
        </w:rPr>
        <w:t>A. nidulans</w:t>
      </w:r>
      <w:r>
        <w:rPr>
          <w:rFonts w:cs="Arial"/>
          <w:color w:val="000000" w:themeColor="text1"/>
        </w:rPr>
        <w:t xml:space="preserve"> would not be carried across to the enzyme production organism.</w:t>
      </w:r>
      <w:r w:rsidR="00934091">
        <w:rPr>
          <w:rFonts w:cs="Arial"/>
          <w:color w:val="000000" w:themeColor="text1"/>
        </w:rPr>
        <w:t xml:space="preserve"> The acetamidase protein is not secreted from the production strain, </w:t>
      </w:r>
      <w:r w:rsidR="000161C0">
        <w:rPr>
          <w:rFonts w:cs="Arial"/>
          <w:color w:val="000000" w:themeColor="text1"/>
        </w:rPr>
        <w:t xml:space="preserve">so </w:t>
      </w:r>
      <w:r w:rsidR="00934091">
        <w:rPr>
          <w:rFonts w:cs="Arial"/>
          <w:color w:val="000000" w:themeColor="text1"/>
        </w:rPr>
        <w:t xml:space="preserve">will not be present in the purified lipase product nor will be present in the final food. </w:t>
      </w:r>
    </w:p>
    <w:p w14:paraId="59709545" w14:textId="66CD59ED" w:rsidR="00CA3849" w:rsidRPr="00D67005" w:rsidRDefault="00CA3849" w:rsidP="00BD59CB">
      <w:pPr>
        <w:pStyle w:val="Heading2"/>
      </w:pPr>
      <w:bookmarkStart w:id="37" w:name="_Toc499282443"/>
      <w:bookmarkStart w:id="38" w:name="_Toc505255640"/>
      <w:bookmarkStart w:id="39" w:name="_Toc4152936"/>
      <w:r>
        <w:t>3.3</w:t>
      </w:r>
      <w:r w:rsidR="001E6A7B">
        <w:tab/>
      </w:r>
      <w:r>
        <w:t>Characterisation of the genetic modification(s)</w:t>
      </w:r>
      <w:bookmarkEnd w:id="37"/>
      <w:bookmarkEnd w:id="38"/>
      <w:bookmarkEnd w:id="39"/>
    </w:p>
    <w:p w14:paraId="61D1B5EC" w14:textId="77777777" w:rsidR="00887AC3" w:rsidRDefault="00887AC3" w:rsidP="00887AC3">
      <w:pPr>
        <w:pStyle w:val="Heading4"/>
      </w:pPr>
      <w:bookmarkStart w:id="40" w:name="_Toc498940971"/>
      <w:bookmarkStart w:id="41" w:name="_Toc499282444"/>
      <w:r>
        <w:t xml:space="preserve">3.3.1 </w:t>
      </w:r>
      <w:r>
        <w:tab/>
        <w:t>Description of DNA to be introduced and method of transformation</w:t>
      </w:r>
      <w:bookmarkEnd w:id="40"/>
      <w:bookmarkEnd w:id="41"/>
      <w:r>
        <w:t xml:space="preserve"> </w:t>
      </w:r>
    </w:p>
    <w:p w14:paraId="453D004B" w14:textId="08850B36" w:rsidR="00887AC3" w:rsidRDefault="00887AC3" w:rsidP="00887AC3">
      <w:pPr>
        <w:spacing w:line="20" w:lineRule="atLeast"/>
        <w:rPr>
          <w:rFonts w:cs="Arial"/>
          <w:color w:val="000000" w:themeColor="text1"/>
        </w:rPr>
      </w:pPr>
      <w:bookmarkStart w:id="42" w:name="_Toc498940972"/>
      <w:bookmarkStart w:id="43" w:name="_Toc499282445"/>
      <w:r>
        <w:rPr>
          <w:rFonts w:cs="Arial"/>
          <w:color w:val="000000" w:themeColor="text1"/>
        </w:rPr>
        <w:t>The production strain (Morph Lip3</w:t>
      </w:r>
      <w:r w:rsidRPr="004F7C1B">
        <w:rPr>
          <w:rFonts w:cs="Arial"/>
          <w:color w:val="000000" w:themeColor="text1"/>
        </w:rPr>
        <w:t>)</w:t>
      </w:r>
      <w:r>
        <w:rPr>
          <w:rFonts w:cs="Arial"/>
          <w:color w:val="000000" w:themeColor="text1"/>
        </w:rPr>
        <w:t xml:space="preserve"> was derived from a parental strain, RL-P37 </w:t>
      </w:r>
      <w:r w:rsidRPr="004206CA">
        <w:rPr>
          <w:rFonts w:cs="Arial"/>
          <w:color w:val="000000" w:themeColor="text1"/>
        </w:rPr>
        <w:t xml:space="preserve">(Sheir-Neiss </w:t>
      </w:r>
      <w:r w:rsidRPr="004206CA">
        <w:rPr>
          <w:rFonts w:cs="Arial"/>
          <w:color w:val="000000" w:themeColor="text1"/>
        </w:rPr>
        <w:lastRenderedPageBreak/>
        <w:t xml:space="preserve">&amp; Montenecourt 1984) that </w:t>
      </w:r>
      <w:r w:rsidR="00C47C7E">
        <w:rPr>
          <w:rFonts w:cs="Arial"/>
          <w:color w:val="000000" w:themeColor="text1"/>
        </w:rPr>
        <w:t xml:space="preserve">itself </w:t>
      </w:r>
      <w:r w:rsidRPr="004206CA">
        <w:rPr>
          <w:rFonts w:cs="Arial"/>
          <w:color w:val="000000" w:themeColor="text1"/>
        </w:rPr>
        <w:t>originated</w:t>
      </w:r>
      <w:r>
        <w:rPr>
          <w:rFonts w:cs="Arial"/>
          <w:color w:val="000000" w:themeColor="text1"/>
        </w:rPr>
        <w:t xml:space="preserve"> via classical mutagenesis from strain QM6a and has previously been used by the </w:t>
      </w:r>
      <w:r w:rsidR="00960982">
        <w:rPr>
          <w:rFonts w:cs="Arial"/>
          <w:color w:val="000000" w:themeColor="text1"/>
        </w:rPr>
        <w:t>a</w:t>
      </w:r>
      <w:r>
        <w:rPr>
          <w:rFonts w:cs="Arial"/>
          <w:color w:val="000000" w:themeColor="text1"/>
        </w:rPr>
        <w:t xml:space="preserve">pplicant to manufacture commercial </w:t>
      </w:r>
      <w:r w:rsidR="00ED37FC">
        <w:rPr>
          <w:rFonts w:cs="Arial"/>
          <w:color w:val="000000" w:themeColor="text1"/>
        </w:rPr>
        <w:t>cellulase</w:t>
      </w:r>
      <w:r>
        <w:rPr>
          <w:rFonts w:cs="Arial"/>
          <w:color w:val="000000" w:themeColor="text1"/>
        </w:rPr>
        <w:t xml:space="preserve"> and xylanase preparations. </w:t>
      </w:r>
      <w:r w:rsidR="00C47C7E">
        <w:rPr>
          <w:rFonts w:cs="Arial"/>
          <w:color w:val="000000" w:themeColor="text1"/>
        </w:rPr>
        <w:t>QM6a is a well-characterised, single wild-type isolate from the Solomon Islands and has been used to develop</w:t>
      </w:r>
      <w:r w:rsidR="00610120">
        <w:rPr>
          <w:rFonts w:cs="Arial"/>
          <w:color w:val="000000" w:themeColor="text1"/>
        </w:rPr>
        <w:t xml:space="preserve"> numerous strains for industrial purposes</w:t>
      </w:r>
      <w:r w:rsidR="00C47C7E">
        <w:rPr>
          <w:rFonts w:cs="Arial"/>
          <w:color w:val="000000" w:themeColor="text1"/>
        </w:rPr>
        <w:t xml:space="preserve"> (see e.g. Seidl et al 2009).</w:t>
      </w:r>
    </w:p>
    <w:p w14:paraId="504103C1" w14:textId="77777777" w:rsidR="00887AC3" w:rsidRDefault="00887AC3" w:rsidP="00887AC3">
      <w:pPr>
        <w:spacing w:line="20" w:lineRule="atLeast"/>
        <w:rPr>
          <w:rFonts w:cs="Arial"/>
          <w:color w:val="000000" w:themeColor="text1"/>
        </w:rPr>
      </w:pPr>
    </w:p>
    <w:p w14:paraId="6939DA07" w14:textId="1042E238" w:rsidR="00887AC3" w:rsidRDefault="00887AC3" w:rsidP="00887AC3">
      <w:pPr>
        <w:spacing w:line="20" w:lineRule="atLeast"/>
        <w:rPr>
          <w:rFonts w:cs="Arial"/>
          <w:color w:val="000000" w:themeColor="text1"/>
        </w:rPr>
      </w:pPr>
      <w:r>
        <w:rPr>
          <w:rFonts w:cs="Arial"/>
          <w:color w:val="000000" w:themeColor="text1"/>
        </w:rPr>
        <w:t xml:space="preserve">RL-P37 then underwent a complex series of genetic modifications via </w:t>
      </w:r>
      <w:r w:rsidRPr="00D26352">
        <w:rPr>
          <w:rFonts w:cs="Arial"/>
          <w:color w:val="000000" w:themeColor="text1"/>
        </w:rPr>
        <w:t>protoplast-mediated transformation procedure</w:t>
      </w:r>
      <w:r>
        <w:rPr>
          <w:rFonts w:cs="Arial"/>
          <w:color w:val="000000" w:themeColor="text1"/>
        </w:rPr>
        <w:t xml:space="preserve">s </w:t>
      </w:r>
      <w:r w:rsidRPr="0067626C">
        <w:rPr>
          <w:rFonts w:cs="Arial"/>
          <w:color w:val="000000" w:themeColor="text1"/>
          <w:szCs w:val="22"/>
        </w:rPr>
        <w:t>(</w:t>
      </w:r>
      <w:r w:rsidRPr="004206CA">
        <w:rPr>
          <w:rFonts w:cs="Arial"/>
          <w:color w:val="000000" w:themeColor="text1"/>
          <w:szCs w:val="22"/>
        </w:rPr>
        <w:t xml:space="preserve">see e.g. </w:t>
      </w:r>
      <w:r w:rsidRPr="004206CA">
        <w:rPr>
          <w:rFonts w:eastAsia="TimesNewRomanPSMT" w:cs="Arial"/>
          <w:szCs w:val="22"/>
          <w:lang w:bidi="ar-SA"/>
        </w:rPr>
        <w:t xml:space="preserve">Penttila </w:t>
      </w:r>
      <w:r w:rsidRPr="004206CA">
        <w:rPr>
          <w:rFonts w:eastAsia="TimesNewRomanPSMT" w:cs="Arial"/>
          <w:i/>
          <w:iCs/>
          <w:szCs w:val="22"/>
          <w:lang w:bidi="ar-SA"/>
        </w:rPr>
        <w:t>et al</w:t>
      </w:r>
      <w:r w:rsidRPr="004206CA">
        <w:rPr>
          <w:rFonts w:eastAsia="TimesNewRomanPSMT" w:cs="Arial"/>
          <w:szCs w:val="22"/>
          <w:lang w:bidi="ar-SA"/>
        </w:rPr>
        <w:t>., 1987</w:t>
      </w:r>
      <w:r w:rsidRPr="00036AF2">
        <w:rPr>
          <w:rFonts w:eastAsia="TimesNewRomanPSMT" w:cs="Arial"/>
          <w:szCs w:val="22"/>
          <w:lang w:bidi="ar-SA"/>
        </w:rPr>
        <w:t xml:space="preserve">; Gruber </w:t>
      </w:r>
      <w:r w:rsidRPr="00036AF2">
        <w:rPr>
          <w:rFonts w:eastAsia="TimesNewRomanPSMT" w:cs="Arial"/>
          <w:i/>
          <w:iCs/>
          <w:szCs w:val="22"/>
          <w:lang w:bidi="ar-SA"/>
        </w:rPr>
        <w:t xml:space="preserve">et al., </w:t>
      </w:r>
      <w:r w:rsidRPr="00036AF2">
        <w:rPr>
          <w:rFonts w:eastAsia="TimesNewRomanPSMT" w:cs="Arial"/>
          <w:szCs w:val="22"/>
          <w:lang w:bidi="ar-SA"/>
        </w:rPr>
        <w:t xml:space="preserve">1990; Smith </w:t>
      </w:r>
      <w:r w:rsidRPr="00036AF2">
        <w:rPr>
          <w:rFonts w:eastAsia="TimesNewRomanPSMT" w:cs="Arial"/>
          <w:i/>
          <w:iCs/>
          <w:szCs w:val="22"/>
          <w:lang w:bidi="ar-SA"/>
        </w:rPr>
        <w:t>et al.</w:t>
      </w:r>
      <w:r w:rsidRPr="00036AF2">
        <w:rPr>
          <w:rFonts w:eastAsia="TimesNewRomanPSMT" w:cs="Arial"/>
          <w:szCs w:val="22"/>
          <w:lang w:bidi="ar-SA"/>
        </w:rPr>
        <w:t>, 1991)</w:t>
      </w:r>
      <w:r w:rsidRPr="00036AF2">
        <w:rPr>
          <w:rFonts w:cs="Arial"/>
          <w:color w:val="000000" w:themeColor="text1"/>
          <w:szCs w:val="22"/>
        </w:rPr>
        <w:t>, using</w:t>
      </w:r>
      <w:r w:rsidRPr="00036AF2">
        <w:rPr>
          <w:rFonts w:cs="Arial"/>
          <w:color w:val="000000" w:themeColor="text1"/>
        </w:rPr>
        <w:t xml:space="preserve"> protoplasts prepared from mycelia (Penttilä et al, 1987; Karhunen et al, 1993</w:t>
      </w:r>
      <w:r w:rsidRPr="004206CA">
        <w:rPr>
          <w:rFonts w:cs="Arial"/>
          <w:color w:val="000000" w:themeColor="text1"/>
        </w:rPr>
        <w:t>)</w:t>
      </w:r>
      <w:r w:rsidR="00730008">
        <w:rPr>
          <w:rFonts w:cs="Arial"/>
          <w:color w:val="000000" w:themeColor="text1"/>
        </w:rPr>
        <w:t>,</w:t>
      </w:r>
      <w:r w:rsidRPr="004206CA">
        <w:rPr>
          <w:rFonts w:cs="Arial"/>
          <w:color w:val="000000" w:themeColor="text1"/>
        </w:rPr>
        <w:t xml:space="preserve"> to</w:t>
      </w:r>
      <w:r>
        <w:rPr>
          <w:rFonts w:cs="Arial"/>
          <w:color w:val="000000" w:themeColor="text1"/>
        </w:rPr>
        <w:t xml:space="preserve"> reduce cellulytic activities by inactivating several key genes. As a result of this inactivation, the production strain is unable to survive in the natural environment because it is unable to use cellulose as a carbon </w:t>
      </w:r>
      <w:r w:rsidRPr="006E03D3">
        <w:rPr>
          <w:rFonts w:cs="Arial"/>
          <w:color w:val="000000" w:themeColor="text1"/>
        </w:rPr>
        <w:t>source. Facilitation of selecting desired transformants during the d</w:t>
      </w:r>
      <w:r w:rsidR="008945DC">
        <w:rPr>
          <w:rFonts w:cs="Arial"/>
          <w:color w:val="000000" w:themeColor="text1"/>
        </w:rPr>
        <w:t>evelopment of the final strain</w:t>
      </w:r>
      <w:r w:rsidR="004E4A8C">
        <w:rPr>
          <w:rFonts w:cs="Arial"/>
          <w:color w:val="000000" w:themeColor="text1"/>
        </w:rPr>
        <w:t xml:space="preserve"> was achieved via</w:t>
      </w:r>
      <w:r w:rsidRPr="006E03D3">
        <w:rPr>
          <w:rFonts w:cs="Arial"/>
          <w:color w:val="000000" w:themeColor="text1"/>
        </w:rPr>
        <w:t xml:space="preserve"> </w:t>
      </w:r>
      <w:r w:rsidR="008945DC">
        <w:rPr>
          <w:rFonts w:cs="Arial"/>
          <w:color w:val="000000" w:themeColor="text1"/>
        </w:rPr>
        <w:t>a system that makes use of the recyclable</w:t>
      </w:r>
      <w:r w:rsidR="004E4A8C">
        <w:rPr>
          <w:rFonts w:cs="Arial"/>
          <w:color w:val="000000" w:themeColor="text1"/>
        </w:rPr>
        <w:t xml:space="preserve"> cassette which contains the</w:t>
      </w:r>
      <w:r w:rsidR="008945DC">
        <w:rPr>
          <w:rFonts w:cs="Arial"/>
          <w:color w:val="000000" w:themeColor="text1"/>
        </w:rPr>
        <w:t xml:space="preserve"> </w:t>
      </w:r>
      <w:r w:rsidR="008945DC" w:rsidRPr="008945DC">
        <w:rPr>
          <w:rFonts w:cs="Arial"/>
          <w:i/>
          <w:color w:val="000000" w:themeColor="text1"/>
        </w:rPr>
        <w:t>T. reesei pyr4</w:t>
      </w:r>
      <w:r w:rsidR="004E4A8C">
        <w:rPr>
          <w:rFonts w:cs="Arial"/>
          <w:color w:val="000000" w:themeColor="text1"/>
        </w:rPr>
        <w:t xml:space="preserve"> gene encoding </w:t>
      </w:r>
      <w:r w:rsidR="008945DC">
        <w:rPr>
          <w:rFonts w:cs="Arial"/>
          <w:color w:val="000000" w:themeColor="text1"/>
        </w:rPr>
        <w:t xml:space="preserve">orotidine 5′-phosphate carboxylase. This marker gene can be bi-directionally selected and the  </w:t>
      </w:r>
      <w:r w:rsidR="008945DC" w:rsidRPr="008945DC">
        <w:rPr>
          <w:rFonts w:cs="Arial"/>
          <w:i/>
          <w:color w:val="000000" w:themeColor="text1"/>
        </w:rPr>
        <w:t>pyr4</w:t>
      </w:r>
      <w:r w:rsidR="008945DC">
        <w:rPr>
          <w:rFonts w:cs="Arial"/>
          <w:color w:val="000000" w:themeColor="text1"/>
        </w:rPr>
        <w:t xml:space="preserve"> cassette can be re-used in multiple rounds of genetic transformation (Seidl and Seiboth 2010).</w:t>
      </w:r>
      <w:r w:rsidR="00944F9B">
        <w:rPr>
          <w:rFonts w:cs="Arial"/>
          <w:color w:val="000000" w:themeColor="text1"/>
        </w:rPr>
        <w:t xml:space="preserve"> The final strain does not contain this gene.</w:t>
      </w:r>
    </w:p>
    <w:p w14:paraId="6B6E335B" w14:textId="77777777" w:rsidR="00887AC3" w:rsidRDefault="00887AC3" w:rsidP="00887AC3">
      <w:pPr>
        <w:spacing w:line="20" w:lineRule="atLeast"/>
        <w:rPr>
          <w:rFonts w:cs="Arial"/>
          <w:color w:val="000000" w:themeColor="text1"/>
        </w:rPr>
      </w:pPr>
    </w:p>
    <w:p w14:paraId="7DB50AB6" w14:textId="1F2254A8" w:rsidR="00887AC3" w:rsidRDefault="00887AC3" w:rsidP="00887AC3">
      <w:pPr>
        <w:autoSpaceDE w:val="0"/>
        <w:autoSpaceDN w:val="0"/>
        <w:adjustRightInd w:val="0"/>
        <w:rPr>
          <w:rFonts w:cs="Arial"/>
          <w:color w:val="000000" w:themeColor="text1"/>
        </w:rPr>
      </w:pPr>
      <w:r>
        <w:rPr>
          <w:rFonts w:cs="Arial"/>
          <w:color w:val="000000" w:themeColor="text1"/>
        </w:rPr>
        <w:t>In the final stage of transformation</w:t>
      </w:r>
      <w:r w:rsidR="002B403C">
        <w:rPr>
          <w:rFonts w:cs="Arial"/>
          <w:color w:val="000000" w:themeColor="text1"/>
        </w:rPr>
        <w:t xml:space="preserve"> the</w:t>
      </w:r>
      <w:r>
        <w:rPr>
          <w:rFonts w:cs="Arial"/>
          <w:color w:val="000000" w:themeColor="text1"/>
        </w:rPr>
        <w:t xml:space="preserve"> </w:t>
      </w:r>
      <w:r w:rsidRPr="00D26352">
        <w:rPr>
          <w:rFonts w:cs="Arial"/>
          <w:i/>
          <w:color w:val="000000" w:themeColor="text1"/>
        </w:rPr>
        <w:t>T. reesei</w:t>
      </w:r>
      <w:r w:rsidRPr="00D26352">
        <w:rPr>
          <w:rFonts w:cs="Arial"/>
          <w:color w:val="000000" w:themeColor="text1"/>
        </w:rPr>
        <w:t xml:space="preserve"> strain </w:t>
      </w:r>
      <w:r>
        <w:rPr>
          <w:rFonts w:cs="Arial"/>
          <w:color w:val="000000" w:themeColor="text1"/>
        </w:rPr>
        <w:t>Morph Lip3</w:t>
      </w:r>
      <w:r w:rsidRPr="00D26352">
        <w:rPr>
          <w:rFonts w:cs="Arial"/>
          <w:color w:val="000000" w:themeColor="text1"/>
        </w:rPr>
        <w:t xml:space="preserve"> was </w:t>
      </w:r>
      <w:r>
        <w:rPr>
          <w:rFonts w:cs="Arial"/>
          <w:color w:val="000000" w:themeColor="text1"/>
        </w:rPr>
        <w:t>produced</w:t>
      </w:r>
      <w:r w:rsidRPr="00D26352">
        <w:rPr>
          <w:rFonts w:cs="Arial"/>
          <w:color w:val="000000" w:themeColor="text1"/>
        </w:rPr>
        <w:t xml:space="preserve"> by </w:t>
      </w:r>
      <w:r>
        <w:rPr>
          <w:rFonts w:cs="Arial"/>
          <w:color w:val="000000" w:themeColor="text1"/>
        </w:rPr>
        <w:t>spore electroporation to integrate a</w:t>
      </w:r>
      <w:r w:rsidRPr="00A30354">
        <w:rPr>
          <w:rFonts w:cs="Arial"/>
          <w:color w:val="000000" w:themeColor="text1"/>
        </w:rPr>
        <w:t xml:space="preserve"> </w:t>
      </w:r>
      <w:r>
        <w:rPr>
          <w:rFonts w:cs="Arial"/>
          <w:color w:val="000000" w:themeColor="text1"/>
        </w:rPr>
        <w:t>PCR-</w:t>
      </w:r>
      <w:r w:rsidRPr="00A30354">
        <w:rPr>
          <w:rFonts w:cs="Arial"/>
          <w:color w:val="000000" w:themeColor="text1"/>
        </w:rPr>
        <w:t xml:space="preserve">purified </w:t>
      </w:r>
      <w:r w:rsidRPr="009C1088">
        <w:rPr>
          <w:rFonts w:cs="Arial"/>
          <w:color w:val="000000" w:themeColor="text1"/>
        </w:rPr>
        <w:t>linear</w:t>
      </w:r>
      <w:r w:rsidRPr="00A30354">
        <w:rPr>
          <w:rFonts w:cs="Arial"/>
          <w:color w:val="000000" w:themeColor="text1"/>
        </w:rPr>
        <w:t xml:space="preserve"> DNA fragment </w:t>
      </w:r>
      <w:r>
        <w:rPr>
          <w:rFonts w:cs="Arial"/>
          <w:color w:val="000000" w:themeColor="text1"/>
        </w:rPr>
        <w:t xml:space="preserve">expression cassette </w:t>
      </w:r>
      <w:r w:rsidRPr="00A30354">
        <w:rPr>
          <w:rFonts w:cs="Arial"/>
          <w:color w:val="000000" w:themeColor="text1"/>
        </w:rPr>
        <w:t>(i.e. free from any vector-derived sequences)</w:t>
      </w:r>
      <w:r>
        <w:rPr>
          <w:rFonts w:cs="Arial"/>
          <w:color w:val="000000" w:themeColor="text1"/>
        </w:rPr>
        <w:t xml:space="preserve"> isolated from a plasmid and containing two coding regions.</w:t>
      </w:r>
      <w:r w:rsidRPr="00A30354">
        <w:rPr>
          <w:rFonts w:cs="Arial"/>
          <w:color w:val="000000" w:themeColor="text1"/>
        </w:rPr>
        <w:t xml:space="preserve"> </w:t>
      </w:r>
      <w:r>
        <w:rPr>
          <w:rFonts w:cs="Arial"/>
          <w:color w:val="000000" w:themeColor="text1"/>
        </w:rPr>
        <w:t>The</w:t>
      </w:r>
      <w:r w:rsidRPr="00A30354">
        <w:rPr>
          <w:rFonts w:cs="Arial"/>
          <w:color w:val="000000" w:themeColor="text1"/>
        </w:rPr>
        <w:t xml:space="preserve"> </w:t>
      </w:r>
      <w:r>
        <w:rPr>
          <w:rFonts w:cs="Arial"/>
          <w:color w:val="000000" w:themeColor="text1"/>
        </w:rPr>
        <w:t>first coding region, was driven by the</w:t>
      </w:r>
      <w:r w:rsidRPr="00A30354">
        <w:rPr>
          <w:rFonts w:cs="Arial"/>
          <w:color w:val="000000" w:themeColor="text1"/>
        </w:rPr>
        <w:t xml:space="preserve"> </w:t>
      </w:r>
      <w:r>
        <w:rPr>
          <w:rFonts w:cs="Arial"/>
          <w:color w:val="000000" w:themeColor="text1"/>
        </w:rPr>
        <w:t xml:space="preserve">strong </w:t>
      </w:r>
      <w:r w:rsidRPr="00A30354">
        <w:rPr>
          <w:rFonts w:cs="Arial"/>
          <w:color w:val="000000" w:themeColor="text1"/>
        </w:rPr>
        <w:t xml:space="preserve">native </w:t>
      </w:r>
      <w:r>
        <w:rPr>
          <w:rFonts w:cs="Arial"/>
          <w:i/>
          <w:color w:val="000000" w:themeColor="text1"/>
        </w:rPr>
        <w:t xml:space="preserve">T. reesei </w:t>
      </w:r>
      <w:r w:rsidRPr="00A30354">
        <w:rPr>
          <w:rFonts w:cs="Arial"/>
          <w:color w:val="000000" w:themeColor="text1"/>
        </w:rPr>
        <w:t>promoter</w:t>
      </w:r>
      <w:r>
        <w:rPr>
          <w:rFonts w:cs="Arial"/>
          <w:color w:val="000000" w:themeColor="text1"/>
        </w:rPr>
        <w:t xml:space="preserve"> from the cell</w:t>
      </w:r>
      <w:r w:rsidR="007D345F">
        <w:rPr>
          <w:rFonts w:cs="Arial"/>
          <w:color w:val="000000" w:themeColor="text1"/>
        </w:rPr>
        <w:t>o</w:t>
      </w:r>
      <w:r>
        <w:rPr>
          <w:rFonts w:cs="Arial"/>
          <w:color w:val="000000" w:themeColor="text1"/>
        </w:rPr>
        <w:t>biohydrolase 1 (</w:t>
      </w:r>
      <w:r w:rsidRPr="00B8095F">
        <w:rPr>
          <w:rFonts w:cs="Arial"/>
          <w:i/>
          <w:color w:val="000000" w:themeColor="text1"/>
        </w:rPr>
        <w:t>cbh1</w:t>
      </w:r>
      <w:r>
        <w:rPr>
          <w:rFonts w:cs="Arial"/>
          <w:color w:val="000000" w:themeColor="text1"/>
        </w:rPr>
        <w:t xml:space="preserve">) gene and </w:t>
      </w:r>
      <w:r w:rsidRPr="00A30354">
        <w:rPr>
          <w:rFonts w:cs="Arial"/>
          <w:color w:val="000000" w:themeColor="text1"/>
        </w:rPr>
        <w:t xml:space="preserve">contained the </w:t>
      </w:r>
      <w:r>
        <w:rPr>
          <w:rFonts w:cs="Arial"/>
          <w:color w:val="000000" w:themeColor="text1"/>
        </w:rPr>
        <w:t>lipase 3</w:t>
      </w:r>
      <w:r w:rsidRPr="00A30354">
        <w:rPr>
          <w:rFonts w:cs="Arial"/>
          <w:color w:val="000000" w:themeColor="text1"/>
        </w:rPr>
        <w:t xml:space="preserve"> </w:t>
      </w:r>
      <w:r>
        <w:rPr>
          <w:rFonts w:cs="Arial"/>
          <w:color w:val="000000" w:themeColor="text1"/>
        </w:rPr>
        <w:t>(</w:t>
      </w:r>
      <w:r w:rsidRPr="00240E17">
        <w:rPr>
          <w:rFonts w:cs="Arial"/>
          <w:i/>
          <w:color w:val="000000" w:themeColor="text1"/>
        </w:rPr>
        <w:t>lip3</w:t>
      </w:r>
      <w:r>
        <w:rPr>
          <w:rFonts w:cs="Arial"/>
          <w:color w:val="000000" w:themeColor="text1"/>
        </w:rPr>
        <w:t xml:space="preserve">) </w:t>
      </w:r>
      <w:r w:rsidRPr="00A30354">
        <w:rPr>
          <w:rFonts w:cs="Arial"/>
          <w:color w:val="000000" w:themeColor="text1"/>
        </w:rPr>
        <w:t>gene</w:t>
      </w:r>
      <w:r>
        <w:rPr>
          <w:rFonts w:cs="Arial"/>
          <w:color w:val="000000" w:themeColor="text1"/>
        </w:rPr>
        <w:t xml:space="preserve"> (with signal sequence)</w:t>
      </w:r>
      <w:r w:rsidRPr="00A30354">
        <w:rPr>
          <w:rFonts w:cs="Arial"/>
          <w:color w:val="000000" w:themeColor="text1"/>
        </w:rPr>
        <w:t xml:space="preserve"> from </w:t>
      </w:r>
      <w:r w:rsidR="00944F9B">
        <w:rPr>
          <w:rFonts w:cs="Arial"/>
          <w:i/>
          <w:color w:val="000000" w:themeColor="text1"/>
        </w:rPr>
        <w:t xml:space="preserve">Aspergillus </w:t>
      </w:r>
      <w:r w:rsidR="00944F9B">
        <w:rPr>
          <w:i/>
          <w:lang w:eastAsia="en-AU" w:bidi="ar-SA"/>
        </w:rPr>
        <w:t>niger var. tubingensis</w:t>
      </w:r>
      <w:r>
        <w:rPr>
          <w:rFonts w:cs="Arial"/>
          <w:i/>
          <w:color w:val="000000" w:themeColor="text1"/>
        </w:rPr>
        <w:t xml:space="preserve"> </w:t>
      </w:r>
      <w:r>
        <w:rPr>
          <w:rFonts w:cs="Arial"/>
          <w:color w:val="000000" w:themeColor="text1"/>
        </w:rPr>
        <w:t xml:space="preserve">with a </w:t>
      </w:r>
      <w:r w:rsidRPr="0048492A">
        <w:rPr>
          <w:rFonts w:cs="Arial"/>
          <w:i/>
          <w:color w:val="000000" w:themeColor="text1"/>
        </w:rPr>
        <w:t xml:space="preserve">T. reesei </w:t>
      </w:r>
      <w:r>
        <w:rPr>
          <w:rFonts w:cs="Arial"/>
          <w:i/>
          <w:color w:val="000000" w:themeColor="text1"/>
        </w:rPr>
        <w:t xml:space="preserve">cbh1 </w:t>
      </w:r>
      <w:r>
        <w:rPr>
          <w:rFonts w:cs="Arial"/>
          <w:color w:val="000000" w:themeColor="text1"/>
        </w:rPr>
        <w:t xml:space="preserve">terminator. The second coding region comprised </w:t>
      </w:r>
      <w:r w:rsidRPr="00041E8F">
        <w:rPr>
          <w:rFonts w:cs="Arial"/>
          <w:color w:val="000000" w:themeColor="text1"/>
        </w:rPr>
        <w:t>the acetamidase gene (</w:t>
      </w:r>
      <w:r w:rsidRPr="00041E8F">
        <w:rPr>
          <w:rFonts w:cs="Arial"/>
          <w:i/>
          <w:color w:val="000000" w:themeColor="text1"/>
        </w:rPr>
        <w:t>amdS)</w:t>
      </w:r>
      <w:r w:rsidRPr="00041E8F">
        <w:rPr>
          <w:rFonts w:cs="Arial"/>
          <w:color w:val="000000" w:themeColor="text1"/>
        </w:rPr>
        <w:t xml:space="preserve"> from</w:t>
      </w:r>
      <w:r w:rsidRPr="00041E8F">
        <w:rPr>
          <w:rFonts w:cs="Arial"/>
          <w:i/>
          <w:color w:val="000000" w:themeColor="text1"/>
        </w:rPr>
        <w:t xml:space="preserve"> A. </w:t>
      </w:r>
      <w:r w:rsidRPr="00882100">
        <w:rPr>
          <w:rFonts w:cs="Arial"/>
          <w:i/>
          <w:color w:val="000000" w:themeColor="text1"/>
        </w:rPr>
        <w:t xml:space="preserve">nidulans </w:t>
      </w:r>
      <w:r w:rsidRPr="00882100">
        <w:rPr>
          <w:rFonts w:cs="Arial"/>
          <w:color w:val="000000" w:themeColor="text1"/>
        </w:rPr>
        <w:t>(</w:t>
      </w:r>
      <w:r w:rsidRPr="004206CA">
        <w:rPr>
          <w:rFonts w:cs="Arial"/>
          <w:color w:val="000000" w:themeColor="text1"/>
        </w:rPr>
        <w:t>Kelly and Hynes, 1985), with its own promoter and terminator. This second gene allows for selection of transformants on acetamide-containing media and has been widely used as a selection marker in fungal</w:t>
      </w:r>
      <w:r>
        <w:rPr>
          <w:rFonts w:cs="Arial"/>
          <w:color w:val="000000" w:themeColor="text1"/>
        </w:rPr>
        <w:t xml:space="preserve"> transformations in the past. In addition, the cassette also contained two short (25 bp) recombination site cloning remnants.</w:t>
      </w:r>
    </w:p>
    <w:p w14:paraId="2568F49C" w14:textId="77777777" w:rsidR="00887AC3" w:rsidRDefault="00887AC3" w:rsidP="00887AC3">
      <w:pPr>
        <w:pStyle w:val="Heading4"/>
      </w:pPr>
      <w:r>
        <w:t>3.3.2</w:t>
      </w:r>
      <w:r>
        <w:tab/>
        <w:t>Characterisation of inserted DNA</w:t>
      </w:r>
    </w:p>
    <w:p w14:paraId="467CCE54" w14:textId="3CABAA61" w:rsidR="00887AC3" w:rsidRDefault="00887AC3" w:rsidP="00887AC3">
      <w:pPr>
        <w:autoSpaceDE w:val="0"/>
        <w:autoSpaceDN w:val="0"/>
        <w:adjustRightInd w:val="0"/>
        <w:rPr>
          <w:rFonts w:cs="Arial"/>
          <w:color w:val="000000" w:themeColor="text1"/>
        </w:rPr>
      </w:pPr>
      <w:r w:rsidRPr="004F77DA">
        <w:rPr>
          <w:rFonts w:cs="Arial"/>
          <w:color w:val="000000" w:themeColor="text1"/>
        </w:rPr>
        <w:t xml:space="preserve">At all stages of the transformations, Southern blot analysis with appropriate controls (and following restriction enzyme digestion and polymerase chain reaction) was undertaken to ensure no extraneous DNA sequences had been incorporated. At the final stage, Southern analysis </w:t>
      </w:r>
      <w:r w:rsidR="00FC7903">
        <w:rPr>
          <w:rFonts w:cs="Arial"/>
          <w:color w:val="000000" w:themeColor="text1"/>
        </w:rPr>
        <w:t>of</w:t>
      </w:r>
      <w:r>
        <w:rPr>
          <w:rFonts w:cs="Arial"/>
          <w:color w:val="000000" w:themeColor="text1"/>
        </w:rPr>
        <w:t xml:space="preserve"> </w:t>
      </w:r>
      <w:r w:rsidR="00FC7903">
        <w:rPr>
          <w:rFonts w:cs="Arial"/>
          <w:color w:val="000000" w:themeColor="text1"/>
        </w:rPr>
        <w:t xml:space="preserve">the Morph Lip3 </w:t>
      </w:r>
      <w:r w:rsidR="002F470D">
        <w:rPr>
          <w:rFonts w:cs="Arial"/>
          <w:color w:val="000000" w:themeColor="text1"/>
        </w:rPr>
        <w:t xml:space="preserve">production strain </w:t>
      </w:r>
      <w:r w:rsidR="00FC7903">
        <w:rPr>
          <w:rFonts w:cs="Arial"/>
          <w:color w:val="000000" w:themeColor="text1"/>
        </w:rPr>
        <w:t>showed that</w:t>
      </w:r>
      <w:r w:rsidRPr="004F77DA">
        <w:rPr>
          <w:rFonts w:cs="Arial"/>
          <w:color w:val="000000" w:themeColor="text1"/>
        </w:rPr>
        <w:t xml:space="preserve"> </w:t>
      </w:r>
      <w:r>
        <w:rPr>
          <w:rFonts w:cs="Arial"/>
          <w:color w:val="000000" w:themeColor="text1"/>
        </w:rPr>
        <w:t xml:space="preserve">a) </w:t>
      </w:r>
      <w:r w:rsidRPr="004F77DA">
        <w:rPr>
          <w:rFonts w:cs="Arial"/>
          <w:color w:val="000000" w:themeColor="text1"/>
        </w:rPr>
        <w:t xml:space="preserve">no vector DNA was present (and hence, the ampicillin resistance in the plasmid backbone </w:t>
      </w:r>
      <w:r>
        <w:rPr>
          <w:rFonts w:cs="Arial"/>
          <w:color w:val="000000" w:themeColor="text1"/>
        </w:rPr>
        <w:t xml:space="preserve">– used for passage of the cloning vector </w:t>
      </w:r>
      <w:r w:rsidRPr="00493509">
        <w:rPr>
          <w:rFonts w:cs="Arial"/>
          <w:i/>
          <w:color w:val="000000" w:themeColor="text1"/>
        </w:rPr>
        <w:t>in E. coli</w:t>
      </w:r>
      <w:r>
        <w:rPr>
          <w:rFonts w:cs="Arial"/>
          <w:color w:val="000000" w:themeColor="text1"/>
        </w:rPr>
        <w:t xml:space="preserve"> - </w:t>
      </w:r>
      <w:r w:rsidRPr="004F77DA">
        <w:rPr>
          <w:rFonts w:cs="Arial"/>
          <w:color w:val="000000" w:themeColor="text1"/>
        </w:rPr>
        <w:t xml:space="preserve">was not present) </w:t>
      </w:r>
      <w:r>
        <w:rPr>
          <w:rFonts w:cs="Arial"/>
          <w:color w:val="000000" w:themeColor="text1"/>
        </w:rPr>
        <w:t xml:space="preserve">and b) more than </w:t>
      </w:r>
      <w:r w:rsidRPr="004F77DA">
        <w:rPr>
          <w:rFonts w:cs="Arial"/>
          <w:color w:val="000000" w:themeColor="text1"/>
        </w:rPr>
        <w:t>one intact copy of the expression</w:t>
      </w:r>
      <w:r>
        <w:rPr>
          <w:rFonts w:cs="Arial"/>
          <w:color w:val="000000" w:themeColor="text1"/>
        </w:rPr>
        <w:t xml:space="preserve"> cassette had been incorporated into the genome. Further to this, next generation sequencing was used, in conjunction with mapping to a </w:t>
      </w:r>
      <w:r w:rsidRPr="007A1AEA">
        <w:rPr>
          <w:rFonts w:cs="Arial"/>
          <w:i/>
          <w:color w:val="000000" w:themeColor="text1"/>
        </w:rPr>
        <w:t>T. reesei</w:t>
      </w:r>
      <w:r>
        <w:rPr>
          <w:rFonts w:cs="Arial"/>
          <w:color w:val="000000" w:themeColor="text1"/>
        </w:rPr>
        <w:t xml:space="preserve"> genome database, to identify the site of integration of the expression cassette in the genome and estimate the number of copies of the </w:t>
      </w:r>
      <w:r w:rsidRPr="007A1AEA">
        <w:rPr>
          <w:rFonts w:cs="Arial"/>
          <w:i/>
          <w:color w:val="000000" w:themeColor="text1"/>
        </w:rPr>
        <w:t>lip3</w:t>
      </w:r>
      <w:r>
        <w:rPr>
          <w:rFonts w:cs="Arial"/>
          <w:color w:val="000000" w:themeColor="text1"/>
        </w:rPr>
        <w:t xml:space="preserve"> gene integrated into the genome.</w:t>
      </w:r>
    </w:p>
    <w:p w14:paraId="20B42933" w14:textId="77777777" w:rsidR="00E41133" w:rsidRPr="004F77DA" w:rsidRDefault="00E41133" w:rsidP="00887AC3">
      <w:pPr>
        <w:autoSpaceDE w:val="0"/>
        <w:autoSpaceDN w:val="0"/>
        <w:adjustRightInd w:val="0"/>
        <w:rPr>
          <w:rFonts w:cs="Arial"/>
          <w:color w:val="000000" w:themeColor="text1"/>
        </w:rPr>
      </w:pPr>
    </w:p>
    <w:p w14:paraId="3D043532" w14:textId="77777777" w:rsidR="00887AC3" w:rsidRDefault="00887AC3" w:rsidP="00887AC3">
      <w:pPr>
        <w:pStyle w:val="Heading4"/>
      </w:pPr>
      <w:r>
        <w:t xml:space="preserve">3.3.3 </w:t>
      </w:r>
      <w:r>
        <w:tab/>
        <w:t>Genetic stability of the inserted gene</w:t>
      </w:r>
    </w:p>
    <w:p w14:paraId="6579A058" w14:textId="77777777" w:rsidR="00887AC3" w:rsidRDefault="00887AC3" w:rsidP="00887AC3">
      <w:pPr>
        <w:rPr>
          <w:rFonts w:cs="Arial"/>
          <w:color w:val="000000" w:themeColor="text1"/>
        </w:rPr>
      </w:pPr>
      <w:r w:rsidRPr="00490327">
        <w:rPr>
          <w:rFonts w:cs="Arial"/>
          <w:i/>
          <w:color w:val="000000" w:themeColor="text1"/>
        </w:rPr>
        <w:t>T. reesei</w:t>
      </w:r>
      <w:r>
        <w:rPr>
          <w:rFonts w:cs="Arial"/>
          <w:color w:val="000000" w:themeColor="text1"/>
        </w:rPr>
        <w:t xml:space="preserve"> strains in general, are widely used in biotechnological processes because of their known stability.</w:t>
      </w:r>
    </w:p>
    <w:p w14:paraId="0609405D" w14:textId="77777777" w:rsidR="00887AC3" w:rsidRPr="00E06F4A" w:rsidRDefault="00887AC3" w:rsidP="00887AC3">
      <w:pPr>
        <w:rPr>
          <w:rFonts w:cs="Arial"/>
          <w:color w:val="000000" w:themeColor="text1"/>
        </w:rPr>
      </w:pPr>
    </w:p>
    <w:p w14:paraId="2BF6F4F2" w14:textId="7F8D7444" w:rsidR="00887AC3" w:rsidRPr="00F86729" w:rsidRDefault="00887AC3" w:rsidP="00887AC3">
      <w:pPr>
        <w:rPr>
          <w:rFonts w:cs="Arial"/>
          <w:color w:val="000000" w:themeColor="text1"/>
        </w:rPr>
      </w:pPr>
      <w:r w:rsidRPr="00E06F4A">
        <w:rPr>
          <w:iCs/>
        </w:rPr>
        <w:t>The genetic stability of the inserted gene was demonstrated by genome sequencing. Broth samples were taken prior to and after thre</w:t>
      </w:r>
      <w:r>
        <w:rPr>
          <w:iCs/>
        </w:rPr>
        <w:t>e fermentations in 14 L fermente</w:t>
      </w:r>
      <w:r w:rsidRPr="00E06F4A">
        <w:rPr>
          <w:iCs/>
        </w:rPr>
        <w:t>rs mimicking commercial fermentation conditions. Samples were then used for genomic DNA extraction and next generation sequencing</w:t>
      </w:r>
      <w:r>
        <w:rPr>
          <w:iCs/>
        </w:rPr>
        <w:t>,</w:t>
      </w:r>
      <w:r w:rsidRPr="00E06F4A">
        <w:rPr>
          <w:iCs/>
        </w:rPr>
        <w:t xml:space="preserve"> which </w:t>
      </w:r>
      <w:r>
        <w:rPr>
          <w:iCs/>
        </w:rPr>
        <w:t>covered over 99% of the gen</w:t>
      </w:r>
      <w:r w:rsidRPr="00E06F4A">
        <w:rPr>
          <w:iCs/>
        </w:rPr>
        <w:t xml:space="preserve">ome. A complex integration site for lipase expression site was determined, and no change was observed between samples prior to and after fermentation. The results demonstrate that the insertion </w:t>
      </w:r>
      <w:r w:rsidRPr="00E06F4A">
        <w:rPr>
          <w:iCs/>
        </w:rPr>
        <w:lastRenderedPageBreak/>
        <w:t xml:space="preserve">cassette had been stably </w:t>
      </w:r>
      <w:r w:rsidRPr="00955AB5">
        <w:rPr>
          <w:iCs/>
        </w:rPr>
        <w:t xml:space="preserve">maintained through generations during the fermentation process. In addition, the </w:t>
      </w:r>
      <w:r w:rsidR="00960982">
        <w:rPr>
          <w:iCs/>
        </w:rPr>
        <w:t>a</w:t>
      </w:r>
      <w:r w:rsidRPr="00955AB5">
        <w:rPr>
          <w:iCs/>
        </w:rPr>
        <w:t xml:space="preserve">pplicant states that </w:t>
      </w:r>
      <w:bookmarkEnd w:id="42"/>
      <w:bookmarkEnd w:id="43"/>
      <w:r w:rsidRPr="00955AB5">
        <w:rPr>
          <w:rFonts w:cs="Arial"/>
          <w:color w:val="000000" w:themeColor="text1"/>
        </w:rPr>
        <w:t>the production strain proved to be 100% stable after at least 60 generations of fermentation, as judged by lipase production</w:t>
      </w:r>
      <w:r w:rsidR="002A6E19">
        <w:rPr>
          <w:rFonts w:cs="Arial"/>
          <w:color w:val="000000" w:themeColor="text1"/>
        </w:rPr>
        <w:t>.</w:t>
      </w:r>
      <w:r>
        <w:rPr>
          <w:rFonts w:cs="Arial"/>
          <w:color w:val="FF0000"/>
        </w:rPr>
        <w:t xml:space="preserve"> </w:t>
      </w:r>
    </w:p>
    <w:p w14:paraId="25D696AF" w14:textId="3B494A36" w:rsidR="00CA3849" w:rsidRPr="00955094" w:rsidRDefault="00CA3849">
      <w:pPr>
        <w:pStyle w:val="Heading2"/>
      </w:pPr>
      <w:bookmarkStart w:id="44" w:name="_Toc471740086"/>
      <w:bookmarkStart w:id="45" w:name="_Toc505255641"/>
      <w:bookmarkStart w:id="46" w:name="_Toc499282447"/>
      <w:bookmarkStart w:id="47" w:name="_Toc4152937"/>
      <w:r w:rsidRPr="00955094">
        <w:t>3.4</w:t>
      </w:r>
      <w:r w:rsidR="001E6A7B" w:rsidRPr="00955094">
        <w:tab/>
      </w:r>
      <w:r w:rsidRPr="00955094">
        <w:t xml:space="preserve">Safety of </w:t>
      </w:r>
      <w:bookmarkEnd w:id="44"/>
      <w:bookmarkEnd w:id="45"/>
      <w:bookmarkEnd w:id="46"/>
      <w:r w:rsidR="00BE1FE0" w:rsidRPr="00955094">
        <w:t>triacylglycerol lipase</w:t>
      </w:r>
      <w:bookmarkEnd w:id="47"/>
    </w:p>
    <w:p w14:paraId="1CC6BA13" w14:textId="61D2AB0D" w:rsidR="00C15A6C" w:rsidRPr="00955094" w:rsidRDefault="00C15A6C" w:rsidP="00BD59CB">
      <w:pPr>
        <w:pStyle w:val="Heading3"/>
      </w:pPr>
      <w:bookmarkStart w:id="48" w:name="_Toc4152938"/>
      <w:r w:rsidRPr="00955094">
        <w:t>3.4.1</w:t>
      </w:r>
      <w:r w:rsidR="0035149D" w:rsidRPr="00955094">
        <w:tab/>
      </w:r>
      <w:r w:rsidRPr="00955094">
        <w:t>History of safe use of the enzyme</w:t>
      </w:r>
      <w:bookmarkEnd w:id="48"/>
    </w:p>
    <w:p w14:paraId="34241EA2" w14:textId="253068E3" w:rsidR="00C15A6C" w:rsidRPr="00955094" w:rsidRDefault="00803693" w:rsidP="00803693">
      <w:pPr>
        <w:rPr>
          <w:lang w:bidi="ar-SA"/>
        </w:rPr>
      </w:pPr>
      <w:r w:rsidRPr="00955094">
        <w:rPr>
          <w:lang w:bidi="ar-SA"/>
        </w:rPr>
        <w:t>FSANZ has approved the use of triacylglycerol lipase as a processing aid, from both animal origin (bovine, ovine and porcine) and fungal sources (A264, A402, A435, A516, A517, A519, A569, A1036 and A1130). Some of the approvals pre-date the establishment of the current version of the Code, indicating that the use of this enzyme as a processing aid in food spans more than 30 years.</w:t>
      </w:r>
      <w:r w:rsidR="002B7C67" w:rsidRPr="00955094">
        <w:rPr>
          <w:lang w:bidi="ar-SA"/>
        </w:rPr>
        <w:t xml:space="preserve"> FSANZ is not aware of any reports of adverse effects resulting from its use as a food processing aid. </w:t>
      </w:r>
    </w:p>
    <w:p w14:paraId="0ECA0886" w14:textId="00B8851F" w:rsidR="00803693" w:rsidRPr="00955094" w:rsidRDefault="00803693" w:rsidP="00803693">
      <w:pPr>
        <w:rPr>
          <w:lang w:bidi="ar-SA"/>
        </w:rPr>
      </w:pPr>
    </w:p>
    <w:p w14:paraId="41D7B3EE" w14:textId="09D5248A" w:rsidR="00803693" w:rsidRPr="00955094" w:rsidRDefault="00F15456" w:rsidP="00803693">
      <w:pPr>
        <w:rPr>
          <w:lang w:bidi="ar-SA"/>
        </w:rPr>
      </w:pPr>
      <w:r w:rsidRPr="00955094">
        <w:rPr>
          <w:lang w:bidi="ar-SA"/>
        </w:rPr>
        <w:t>T</w:t>
      </w:r>
      <w:r w:rsidR="007E03AB" w:rsidRPr="00955094">
        <w:rPr>
          <w:lang w:bidi="ar-SA"/>
        </w:rPr>
        <w:t>he a</w:t>
      </w:r>
      <w:r w:rsidRPr="00955094">
        <w:rPr>
          <w:lang w:bidi="ar-SA"/>
        </w:rPr>
        <w:t xml:space="preserve">pplicant has indicated that triacylglycerol lipase from </w:t>
      </w:r>
      <w:r w:rsidR="002B7C67" w:rsidRPr="00955094">
        <w:rPr>
          <w:rFonts w:cs="Arial"/>
          <w:i/>
          <w:color w:val="000000" w:themeColor="text1"/>
        </w:rPr>
        <w:t>T. reesei</w:t>
      </w:r>
      <w:r w:rsidR="002B7C67" w:rsidRPr="00955094">
        <w:rPr>
          <w:rFonts w:cs="Arial"/>
          <w:color w:val="000000" w:themeColor="text1"/>
        </w:rPr>
        <w:t xml:space="preserve"> strain Morph Lip3 has been used for pizza, bread and other bakery applications in the US and </w:t>
      </w:r>
      <w:r w:rsidR="00FC7903">
        <w:rPr>
          <w:rFonts w:cs="Arial"/>
          <w:color w:val="000000" w:themeColor="text1"/>
        </w:rPr>
        <w:t>in</w:t>
      </w:r>
      <w:r w:rsidR="002B7C67" w:rsidRPr="00955094">
        <w:rPr>
          <w:rFonts w:cs="Arial"/>
          <w:color w:val="000000" w:themeColor="text1"/>
        </w:rPr>
        <w:t xml:space="preserve"> b</w:t>
      </w:r>
      <w:r w:rsidR="005147D8" w:rsidRPr="00955094">
        <w:rPr>
          <w:rFonts w:cs="Arial"/>
          <w:color w:val="000000" w:themeColor="text1"/>
        </w:rPr>
        <w:t xml:space="preserve">akery </w:t>
      </w:r>
      <w:r w:rsidR="00FC7903">
        <w:rPr>
          <w:rFonts w:cs="Arial"/>
          <w:color w:val="000000" w:themeColor="text1"/>
        </w:rPr>
        <w:t xml:space="preserve">products </w:t>
      </w:r>
      <w:r w:rsidR="005147D8" w:rsidRPr="00955094">
        <w:rPr>
          <w:rFonts w:cs="Arial"/>
          <w:color w:val="000000" w:themeColor="text1"/>
        </w:rPr>
        <w:t xml:space="preserve">in India since 2017. The </w:t>
      </w:r>
      <w:r w:rsidR="007E03AB" w:rsidRPr="00955094">
        <w:rPr>
          <w:rFonts w:cs="Arial"/>
          <w:color w:val="000000" w:themeColor="text1"/>
        </w:rPr>
        <w:t>a</w:t>
      </w:r>
      <w:r w:rsidR="005147D8" w:rsidRPr="00955094">
        <w:rPr>
          <w:rFonts w:cs="Arial"/>
          <w:color w:val="000000" w:themeColor="text1"/>
        </w:rPr>
        <w:t xml:space="preserve">pplicant is not aware of any </w:t>
      </w:r>
      <w:r w:rsidR="002B7C67" w:rsidRPr="00955094">
        <w:rPr>
          <w:rFonts w:cs="Arial"/>
          <w:color w:val="000000" w:themeColor="text1"/>
        </w:rPr>
        <w:t xml:space="preserve">adverse events reported since this form of the enzyme has been in commercial use in these countries. </w:t>
      </w:r>
    </w:p>
    <w:p w14:paraId="4B319AB9" w14:textId="77B01515" w:rsidR="00C15A6C" w:rsidRPr="00955094" w:rsidRDefault="00C15A6C" w:rsidP="00BD59CB">
      <w:pPr>
        <w:pStyle w:val="Heading3"/>
      </w:pPr>
      <w:bookmarkStart w:id="49" w:name="_Toc4152939"/>
      <w:r w:rsidRPr="00955094">
        <w:t>3.4.2</w:t>
      </w:r>
      <w:r w:rsidR="0035149D" w:rsidRPr="00955094">
        <w:tab/>
      </w:r>
      <w:r w:rsidRPr="00955094">
        <w:t>Toxic</w:t>
      </w:r>
      <w:r w:rsidR="007E03AB" w:rsidRPr="00955094">
        <w:t>ity studies of the enzyme</w:t>
      </w:r>
      <w:bookmarkEnd w:id="49"/>
    </w:p>
    <w:p w14:paraId="3925ACC2" w14:textId="57D4709D" w:rsidR="007E03AB" w:rsidRPr="00955094" w:rsidRDefault="000932F7" w:rsidP="007E03AB">
      <w:pPr>
        <w:rPr>
          <w:lang w:eastAsia="en-AU" w:bidi="ar-SA"/>
        </w:rPr>
      </w:pPr>
      <w:r w:rsidRPr="00955094">
        <w:rPr>
          <w:lang w:eastAsia="en-AU" w:bidi="ar-SA"/>
        </w:rPr>
        <w:t>Reports of f</w:t>
      </w:r>
      <w:r w:rsidR="007E03AB" w:rsidRPr="00955094">
        <w:rPr>
          <w:lang w:eastAsia="en-AU" w:bidi="ar-SA"/>
        </w:rPr>
        <w:t xml:space="preserve">our toxicity studies with the </w:t>
      </w:r>
      <w:r w:rsidR="00D214DD" w:rsidRPr="00955094">
        <w:rPr>
          <w:lang w:bidi="ar-SA"/>
        </w:rPr>
        <w:t xml:space="preserve">triacylglycerol lipase </w:t>
      </w:r>
      <w:r w:rsidR="007E03AB" w:rsidRPr="00955094">
        <w:rPr>
          <w:lang w:eastAsia="en-AU" w:bidi="ar-SA"/>
        </w:rPr>
        <w:t xml:space="preserve">enzyme </w:t>
      </w:r>
      <w:r w:rsidRPr="00955094">
        <w:rPr>
          <w:lang w:eastAsia="en-AU" w:bidi="ar-SA"/>
        </w:rPr>
        <w:t>have been submitted:</w:t>
      </w:r>
      <w:r w:rsidR="007E03AB" w:rsidRPr="00955094">
        <w:rPr>
          <w:lang w:eastAsia="en-AU" w:bidi="ar-SA"/>
        </w:rPr>
        <w:t xml:space="preserve"> an acute oral toxicity study </w:t>
      </w:r>
      <w:r w:rsidR="009E698A" w:rsidRPr="00955094">
        <w:rPr>
          <w:lang w:eastAsia="en-AU" w:bidi="ar-SA"/>
        </w:rPr>
        <w:t xml:space="preserve">and </w:t>
      </w:r>
      <w:r w:rsidR="007E03AB" w:rsidRPr="00955094">
        <w:rPr>
          <w:lang w:eastAsia="en-AU" w:bidi="ar-SA"/>
        </w:rPr>
        <w:t>a 90-day repeated dose oral toxicity in rat</w:t>
      </w:r>
      <w:r w:rsidR="009E698A" w:rsidRPr="00955094">
        <w:rPr>
          <w:lang w:eastAsia="en-AU" w:bidi="ar-SA"/>
        </w:rPr>
        <w:t>s</w:t>
      </w:r>
      <w:r w:rsidRPr="00955094">
        <w:rPr>
          <w:lang w:eastAsia="en-AU" w:bidi="ar-SA"/>
        </w:rPr>
        <w:t xml:space="preserve">, a bacterial reverse mutation assay and an </w:t>
      </w:r>
      <w:r w:rsidRPr="00955094">
        <w:rPr>
          <w:i/>
          <w:lang w:eastAsia="en-AU" w:bidi="ar-SA"/>
        </w:rPr>
        <w:t>in vitro</w:t>
      </w:r>
      <w:r w:rsidRPr="00955094">
        <w:rPr>
          <w:lang w:eastAsia="en-AU" w:bidi="ar-SA"/>
        </w:rPr>
        <w:t xml:space="preserve"> chromosomal aberration test conducted with human lymphocytes. </w:t>
      </w:r>
      <w:r w:rsidR="000C61EB" w:rsidRPr="00955094">
        <w:rPr>
          <w:lang w:eastAsia="en-AU" w:bidi="ar-SA"/>
        </w:rPr>
        <w:t xml:space="preserve">In these studies the </w:t>
      </w:r>
      <w:r w:rsidR="004B78E5" w:rsidRPr="00955094">
        <w:rPr>
          <w:lang w:eastAsia="en-AU" w:bidi="ar-SA"/>
        </w:rPr>
        <w:t>enzyme preparation tested</w:t>
      </w:r>
      <w:r w:rsidR="000C61EB" w:rsidRPr="00955094">
        <w:rPr>
          <w:lang w:eastAsia="en-AU" w:bidi="ar-SA"/>
        </w:rPr>
        <w:t xml:space="preserve"> was an ultra-filtered concentrate</w:t>
      </w:r>
      <w:r w:rsidR="004B78E5" w:rsidRPr="00955094">
        <w:rPr>
          <w:lang w:eastAsia="en-AU" w:bidi="ar-SA"/>
        </w:rPr>
        <w:t xml:space="preserve"> containing 178.4 mg total protein/mL, lot number 20088167.</w:t>
      </w:r>
      <w:r w:rsidR="009E698A" w:rsidRPr="00955094">
        <w:rPr>
          <w:lang w:eastAsia="en-AU" w:bidi="ar-SA"/>
        </w:rPr>
        <w:t xml:space="preserve"> The </w:t>
      </w:r>
      <w:r w:rsidR="00396B8D">
        <w:rPr>
          <w:lang w:eastAsia="en-AU" w:bidi="ar-SA"/>
        </w:rPr>
        <w:t xml:space="preserve">enzyme </w:t>
      </w:r>
      <w:r w:rsidR="009E698A" w:rsidRPr="00955094">
        <w:rPr>
          <w:lang w:eastAsia="en-AU" w:bidi="ar-SA"/>
        </w:rPr>
        <w:t>total organic solid</w:t>
      </w:r>
      <w:r w:rsidR="00396B8D">
        <w:rPr>
          <w:lang w:eastAsia="en-AU" w:bidi="ar-SA"/>
        </w:rPr>
        <w:t>s</w:t>
      </w:r>
      <w:r w:rsidR="009E698A" w:rsidRPr="00955094">
        <w:rPr>
          <w:lang w:eastAsia="en-AU" w:bidi="ar-SA"/>
        </w:rPr>
        <w:t xml:space="preserve"> (TOS) content w</w:t>
      </w:r>
      <w:r w:rsidR="00D214DD">
        <w:rPr>
          <w:lang w:eastAsia="en-AU" w:bidi="ar-SA"/>
        </w:rPr>
        <w:t>as 0.77 mg per mg total protein</w:t>
      </w:r>
      <w:r w:rsidR="000C61EB" w:rsidRPr="00955094">
        <w:rPr>
          <w:lang w:eastAsia="en-AU" w:bidi="ar-SA"/>
        </w:rPr>
        <w:t xml:space="preserve">. </w:t>
      </w:r>
    </w:p>
    <w:p w14:paraId="3AF23456" w14:textId="4C855717" w:rsidR="000C61EB" w:rsidRPr="00955094" w:rsidRDefault="000C61EB" w:rsidP="000C61EB">
      <w:pPr>
        <w:pStyle w:val="Heading4"/>
        <w:rPr>
          <w:lang w:eastAsia="en-AU"/>
        </w:rPr>
      </w:pPr>
      <w:r w:rsidRPr="00955094">
        <w:rPr>
          <w:lang w:eastAsia="en-AU"/>
        </w:rPr>
        <w:t xml:space="preserve">3.4.2.1 </w:t>
      </w:r>
      <w:r w:rsidR="0087114F" w:rsidRPr="00955094">
        <w:rPr>
          <w:lang w:eastAsia="en-AU"/>
        </w:rPr>
        <w:t>S</w:t>
      </w:r>
      <w:r w:rsidRPr="00955094">
        <w:rPr>
          <w:lang w:eastAsia="en-AU"/>
        </w:rPr>
        <w:t xml:space="preserve">tudies in </w:t>
      </w:r>
      <w:r w:rsidR="0087114F" w:rsidRPr="00955094">
        <w:rPr>
          <w:lang w:eastAsia="en-AU"/>
        </w:rPr>
        <w:t xml:space="preserve">experimental </w:t>
      </w:r>
      <w:r w:rsidRPr="00955094">
        <w:rPr>
          <w:lang w:eastAsia="en-AU"/>
        </w:rPr>
        <w:t>animals</w:t>
      </w:r>
    </w:p>
    <w:p w14:paraId="1FE8616A" w14:textId="7F345376" w:rsidR="000C61EB" w:rsidRPr="00955094" w:rsidRDefault="000C61EB" w:rsidP="0087114F">
      <w:pPr>
        <w:pStyle w:val="Heading5"/>
        <w:rPr>
          <w:lang w:eastAsia="en-AU"/>
        </w:rPr>
      </w:pPr>
      <w:r w:rsidRPr="00955094">
        <w:rPr>
          <w:lang w:eastAsia="en-AU"/>
        </w:rPr>
        <w:t>Acute oral toxicity study in rats (</w:t>
      </w:r>
      <w:r w:rsidR="004E329A" w:rsidRPr="00955094">
        <w:rPr>
          <w:lang w:eastAsia="en-AU"/>
        </w:rPr>
        <w:t>MB Research Laboratories</w:t>
      </w:r>
      <w:r w:rsidR="0087114F" w:rsidRPr="00955094">
        <w:rPr>
          <w:lang w:eastAsia="en-AU"/>
        </w:rPr>
        <w:t xml:space="preserve"> 2009) Regulatory status: GLP; Conducted according to OECD Test Guideline (TG) 425</w:t>
      </w:r>
    </w:p>
    <w:p w14:paraId="02D6BB33" w14:textId="347BD914" w:rsidR="00BF02F4" w:rsidRPr="00955094" w:rsidRDefault="004B78E5" w:rsidP="00C15A6C">
      <w:pPr>
        <w:rPr>
          <w:lang w:bidi="ar-SA"/>
        </w:rPr>
      </w:pPr>
      <w:r w:rsidRPr="00955094">
        <w:rPr>
          <w:lang w:bidi="ar-SA"/>
        </w:rPr>
        <w:t xml:space="preserve">Initially, a single female Wistar albino rat was administered </w:t>
      </w:r>
      <w:r w:rsidR="00D214DD">
        <w:rPr>
          <w:lang w:bidi="ar-SA"/>
        </w:rPr>
        <w:t>l</w:t>
      </w:r>
      <w:r w:rsidRPr="00955094">
        <w:rPr>
          <w:lang w:bidi="ar-SA"/>
        </w:rPr>
        <w:t xml:space="preserve">ipase by oral gavage at a dose of 2000 mg/kg bw. As the animal survived, four additional females were dosed at 2000 mg/kg bw. </w:t>
      </w:r>
      <w:r w:rsidR="00076058" w:rsidRPr="00955094">
        <w:rPr>
          <w:lang w:bidi="ar-SA"/>
        </w:rPr>
        <w:t xml:space="preserve">Rats were observed for signs of toxicological or pharmacological effects at 15 minutes, 1, 2 and 4 hours post-dosing and once daily for 14 days. Body weights were recorded prior to testing and on study days 7 and 14. Additional body weights for one animal were recorded on days 15 to 19. All animals were killed at study termination and examined for gross pathology. </w:t>
      </w:r>
    </w:p>
    <w:p w14:paraId="161A7527" w14:textId="32D7F133" w:rsidR="00076058" w:rsidRPr="00955094" w:rsidRDefault="00076058" w:rsidP="00C15A6C">
      <w:pPr>
        <w:rPr>
          <w:lang w:bidi="ar-SA"/>
        </w:rPr>
      </w:pPr>
    </w:p>
    <w:p w14:paraId="214D0F91" w14:textId="2E49C5F8" w:rsidR="00076058" w:rsidRPr="00955094" w:rsidRDefault="00076058" w:rsidP="00C15A6C">
      <w:pPr>
        <w:rPr>
          <w:lang w:bidi="ar-SA"/>
        </w:rPr>
      </w:pPr>
      <w:r w:rsidRPr="00955094">
        <w:rPr>
          <w:lang w:bidi="ar-SA"/>
        </w:rPr>
        <w:t xml:space="preserve">All animals survived to the end of the study and no clinical signs of toxicity were observed. Body weight changes were normal in 3/5 animals. Two animals lost weight between days 7 and 14 (bodyweight losses of </w:t>
      </w:r>
      <w:r w:rsidRPr="00955094">
        <w:rPr>
          <w:rFonts w:cs="Arial"/>
          <w:lang w:bidi="ar-SA"/>
        </w:rPr>
        <w:t>~</w:t>
      </w:r>
      <w:r w:rsidRPr="00955094">
        <w:rPr>
          <w:lang w:bidi="ar-SA"/>
        </w:rPr>
        <w:t xml:space="preserve"> 4% and 1%). The animal with the greater body weight loss was observed for an additional 5 days, during which time </w:t>
      </w:r>
      <w:r w:rsidR="0030596D" w:rsidRPr="00955094">
        <w:rPr>
          <w:lang w:bidi="ar-SA"/>
        </w:rPr>
        <w:t>fluctuations in body weight were observed</w:t>
      </w:r>
      <w:r w:rsidRPr="00955094">
        <w:rPr>
          <w:lang w:bidi="ar-SA"/>
        </w:rPr>
        <w:t xml:space="preserve">. No pathological changes were observed at necropsy. </w:t>
      </w:r>
    </w:p>
    <w:p w14:paraId="3B3B2EFA" w14:textId="69577CF0" w:rsidR="00AF6C31" w:rsidRPr="00955094" w:rsidRDefault="00AF6C31" w:rsidP="00C15A6C">
      <w:pPr>
        <w:rPr>
          <w:lang w:bidi="ar-SA"/>
        </w:rPr>
      </w:pPr>
    </w:p>
    <w:p w14:paraId="5C60F35B" w14:textId="7C504F09" w:rsidR="00AF6C31" w:rsidRPr="00955094" w:rsidRDefault="00AF6C31" w:rsidP="00C15A6C">
      <w:pPr>
        <w:rPr>
          <w:lang w:bidi="ar-SA"/>
        </w:rPr>
      </w:pPr>
      <w:r w:rsidRPr="00955094">
        <w:rPr>
          <w:lang w:bidi="ar-SA"/>
        </w:rPr>
        <w:t>The LD</w:t>
      </w:r>
      <w:r w:rsidRPr="00955094">
        <w:rPr>
          <w:vertAlign w:val="subscript"/>
          <w:lang w:bidi="ar-SA"/>
        </w:rPr>
        <w:t>50</w:t>
      </w:r>
      <w:r w:rsidRPr="00955094">
        <w:rPr>
          <w:lang w:bidi="ar-SA"/>
        </w:rPr>
        <w:t xml:space="preserve"> of </w:t>
      </w:r>
      <w:r w:rsidR="00D214DD">
        <w:rPr>
          <w:lang w:bidi="ar-SA"/>
        </w:rPr>
        <w:t>l</w:t>
      </w:r>
      <w:r w:rsidRPr="00955094">
        <w:rPr>
          <w:lang w:bidi="ar-SA"/>
        </w:rPr>
        <w:t xml:space="preserve">ipase was greater than 2000 mg/kg bw under the conditions of this study. </w:t>
      </w:r>
    </w:p>
    <w:p w14:paraId="741B70B4" w14:textId="07E6A164" w:rsidR="00BB1D2F" w:rsidRPr="00955094" w:rsidRDefault="00BB1D2F" w:rsidP="00BB1D2F">
      <w:pPr>
        <w:pStyle w:val="Heading5"/>
      </w:pPr>
      <w:r w:rsidRPr="00955094">
        <w:t>90-day repeated dose oral toxicity study in rats (</w:t>
      </w:r>
      <w:r w:rsidR="004E329A" w:rsidRPr="00955094">
        <w:t>Harlan Laboratories</w:t>
      </w:r>
      <w:r w:rsidRPr="00955094">
        <w:t xml:space="preserve"> 2010) Regulatory status: GLP; Conducted according to OECD TG 408</w:t>
      </w:r>
    </w:p>
    <w:p w14:paraId="26EDF682" w14:textId="1AFC4448" w:rsidR="00BB1D2F" w:rsidRPr="00955094" w:rsidRDefault="00C127BA" w:rsidP="00C15A6C">
      <w:pPr>
        <w:rPr>
          <w:lang w:bidi="ar-SA"/>
        </w:rPr>
      </w:pPr>
      <w:r w:rsidRPr="00955094">
        <w:rPr>
          <w:lang w:bidi="ar-SA"/>
        </w:rPr>
        <w:t>Lipase was administered by oral gavage to Wistar rats (10/sex/group) at dose</w:t>
      </w:r>
      <w:r w:rsidR="00330182" w:rsidRPr="00955094">
        <w:rPr>
          <w:lang w:bidi="ar-SA"/>
        </w:rPr>
        <w:t>s of 0, 53.5, 80.3 and 160.6 mg</w:t>
      </w:r>
      <w:r w:rsidRPr="00955094">
        <w:rPr>
          <w:lang w:bidi="ar-SA"/>
        </w:rPr>
        <w:t>/kg bw/day</w:t>
      </w:r>
      <w:r w:rsidR="00330182" w:rsidRPr="00955094">
        <w:rPr>
          <w:lang w:bidi="ar-SA"/>
        </w:rPr>
        <w:t xml:space="preserve"> total protein</w:t>
      </w:r>
      <w:r w:rsidRPr="00955094">
        <w:rPr>
          <w:lang w:bidi="ar-SA"/>
        </w:rPr>
        <w:t xml:space="preserve"> for a period of 91/92 days. These doses </w:t>
      </w:r>
      <w:r w:rsidRPr="00955094">
        <w:rPr>
          <w:lang w:bidi="ar-SA"/>
        </w:rPr>
        <w:lastRenderedPageBreak/>
        <w:t xml:space="preserve">corresponded to </w:t>
      </w:r>
      <w:r w:rsidR="009E698A" w:rsidRPr="00955094">
        <w:rPr>
          <w:lang w:bidi="ar-SA"/>
        </w:rPr>
        <w:t>TO</w:t>
      </w:r>
      <w:r w:rsidR="002E7E02" w:rsidRPr="00955094">
        <w:rPr>
          <w:lang w:bidi="ar-SA"/>
        </w:rPr>
        <w:t>S</w:t>
      </w:r>
      <w:r w:rsidRPr="00955094">
        <w:rPr>
          <w:lang w:bidi="ar-SA"/>
        </w:rPr>
        <w:t xml:space="preserve"> doses of 0, 41.02, 61.57 and 123.15 mg/kg bw/day, respectively</w:t>
      </w:r>
      <w:r w:rsidR="00330182" w:rsidRPr="00955094">
        <w:rPr>
          <w:lang w:bidi="ar-SA"/>
        </w:rPr>
        <w:t>, or 0, 32,390,</w:t>
      </w:r>
      <w:r w:rsidR="003E190C">
        <w:rPr>
          <w:lang w:bidi="ar-SA"/>
        </w:rPr>
        <w:t xml:space="preserve"> </w:t>
      </w:r>
      <w:r w:rsidR="00330182" w:rsidRPr="00955094">
        <w:rPr>
          <w:lang w:bidi="ar-SA"/>
        </w:rPr>
        <w:t xml:space="preserve">48,610 and 97,225 </w:t>
      </w:r>
      <w:r w:rsidR="00D701CA" w:rsidRPr="00955094">
        <w:rPr>
          <w:lang w:bidi="ar-SA"/>
        </w:rPr>
        <w:t>lipase units (</w:t>
      </w:r>
      <w:r w:rsidR="00330182" w:rsidRPr="00955094">
        <w:rPr>
          <w:lang w:bidi="ar-SA"/>
        </w:rPr>
        <w:t>LIPU</w:t>
      </w:r>
      <w:r w:rsidR="00D701CA" w:rsidRPr="00955094">
        <w:rPr>
          <w:lang w:bidi="ar-SA"/>
        </w:rPr>
        <w:t xml:space="preserve">) per </w:t>
      </w:r>
      <w:r w:rsidR="00330182" w:rsidRPr="00955094">
        <w:rPr>
          <w:lang w:bidi="ar-SA"/>
        </w:rPr>
        <w:t>kg bw/day</w:t>
      </w:r>
      <w:r w:rsidRPr="00955094">
        <w:rPr>
          <w:lang w:bidi="ar-SA"/>
        </w:rPr>
        <w:t xml:space="preserve">. </w:t>
      </w:r>
      <w:r w:rsidR="00950DFC" w:rsidRPr="00955094">
        <w:rPr>
          <w:lang w:bidi="ar-SA"/>
        </w:rPr>
        <w:t>The vehicle control was 0.9% saline solution. Clinical signs, cage</w:t>
      </w:r>
      <w:r w:rsidR="00330182" w:rsidRPr="00955094">
        <w:rPr>
          <w:lang w:bidi="ar-SA"/>
        </w:rPr>
        <w:t>-</w:t>
      </w:r>
      <w:r w:rsidR="00950DFC" w:rsidRPr="00955094">
        <w:rPr>
          <w:lang w:bidi="ar-SA"/>
        </w:rPr>
        <w:t>side observations, detailed behavioural observations, food consumption and body weights were recorded periodically throughout the acclimati</w:t>
      </w:r>
      <w:r w:rsidR="00955094">
        <w:rPr>
          <w:lang w:bidi="ar-SA"/>
        </w:rPr>
        <w:t>s</w:t>
      </w:r>
      <w:r w:rsidR="00950DFC" w:rsidRPr="00955094">
        <w:rPr>
          <w:lang w:bidi="ar-SA"/>
        </w:rPr>
        <w:t>ation and treatment periods. Ophthalmo</w:t>
      </w:r>
      <w:r w:rsidR="009E698A" w:rsidRPr="00955094">
        <w:rPr>
          <w:lang w:bidi="ar-SA"/>
        </w:rPr>
        <w:t>logic</w:t>
      </w:r>
      <w:r w:rsidR="00950DFC" w:rsidRPr="00955094">
        <w:rPr>
          <w:lang w:bidi="ar-SA"/>
        </w:rPr>
        <w:t xml:space="preserve"> examinations were performed </w:t>
      </w:r>
      <w:r w:rsidR="00955094" w:rsidRPr="00955094">
        <w:rPr>
          <w:lang w:bidi="ar-SA"/>
        </w:rPr>
        <w:t>in all animals during acclimati</w:t>
      </w:r>
      <w:r w:rsidR="00955094">
        <w:rPr>
          <w:lang w:bidi="ar-SA"/>
        </w:rPr>
        <w:t>s</w:t>
      </w:r>
      <w:r w:rsidR="00955094" w:rsidRPr="00955094">
        <w:rPr>
          <w:lang w:bidi="ar-SA"/>
        </w:rPr>
        <w:t>ation</w:t>
      </w:r>
      <w:r w:rsidR="00950DFC" w:rsidRPr="00955094">
        <w:rPr>
          <w:lang w:bidi="ar-SA"/>
        </w:rPr>
        <w:t xml:space="preserve"> and in animals of the control and high dose groups during week 13. </w:t>
      </w:r>
      <w:r w:rsidR="00940A7C" w:rsidRPr="00955094">
        <w:rPr>
          <w:lang w:bidi="ar-SA"/>
        </w:rPr>
        <w:t xml:space="preserve">A functional observational battery, grip strength and locomotor activity were also assessed during week 13. At the end of the dosing period animals were fasted for approximately 18 hours and blood and urine samples were collected. All animals were killed, necropsied and examined post mortem. </w:t>
      </w:r>
      <w:r w:rsidR="000B7D48" w:rsidRPr="00955094">
        <w:rPr>
          <w:lang w:bidi="ar-SA"/>
        </w:rPr>
        <w:t xml:space="preserve">Histopathological examination was conducted on organs and tissues from all control and high dose animals, and gross lesions were assessed for all animals. </w:t>
      </w:r>
    </w:p>
    <w:p w14:paraId="52961022" w14:textId="661D0505" w:rsidR="00D063C3" w:rsidRPr="00955094" w:rsidRDefault="00D063C3" w:rsidP="00C15A6C">
      <w:pPr>
        <w:rPr>
          <w:lang w:bidi="ar-SA"/>
        </w:rPr>
      </w:pPr>
    </w:p>
    <w:p w14:paraId="02567B85" w14:textId="49A33D4A" w:rsidR="00D063C3" w:rsidRPr="00955094" w:rsidRDefault="006C14C7" w:rsidP="00C15A6C">
      <w:pPr>
        <w:rPr>
          <w:lang w:bidi="ar-SA"/>
        </w:rPr>
      </w:pPr>
      <w:r w:rsidRPr="00955094">
        <w:rPr>
          <w:lang w:bidi="ar-SA"/>
        </w:rPr>
        <w:t xml:space="preserve">One control female was killed for humane reasons on day 57 of treatment, due to the presence of a malignant, lymphoblastic lymphoma. </w:t>
      </w:r>
      <w:r w:rsidR="00A00435" w:rsidRPr="00955094">
        <w:rPr>
          <w:lang w:bidi="ar-SA"/>
        </w:rPr>
        <w:t xml:space="preserve">No mortality occurred in the low dose group. In the mid dose group one male was found dead on day 46 and two females were found dead on days 31 and 45. One high dose female was found dead on day 39. </w:t>
      </w:r>
      <w:r w:rsidR="004B46DB">
        <w:rPr>
          <w:lang w:bidi="ar-SA"/>
        </w:rPr>
        <w:t>Pathology findings for animals that died (e.g. blood aspiration, dark red discolouration of lungs, alveolar edema) were consistent with gavage errors</w:t>
      </w:r>
      <w:r w:rsidR="00CF5879" w:rsidRPr="00955094">
        <w:rPr>
          <w:lang w:bidi="ar-SA"/>
        </w:rPr>
        <w:t xml:space="preserve">. </w:t>
      </w:r>
    </w:p>
    <w:p w14:paraId="19F99B83" w14:textId="47D0CC7C" w:rsidR="000F4DD8" w:rsidRPr="00955094" w:rsidRDefault="000F4DD8" w:rsidP="00C15A6C">
      <w:pPr>
        <w:rPr>
          <w:lang w:bidi="ar-SA"/>
        </w:rPr>
      </w:pPr>
    </w:p>
    <w:p w14:paraId="304190E2" w14:textId="7FDD66B2" w:rsidR="000F4DD8" w:rsidRPr="00955094" w:rsidRDefault="000F4DD8" w:rsidP="00C15A6C">
      <w:pPr>
        <w:rPr>
          <w:lang w:bidi="ar-SA"/>
        </w:rPr>
      </w:pPr>
      <w:r w:rsidRPr="00955094">
        <w:rPr>
          <w:lang w:bidi="ar-SA"/>
        </w:rPr>
        <w:t xml:space="preserve">No test item-related clinical signs of toxicity were observed at any dose during the course of the study, including in the functional observational battery. In males, significantly higher hind-limb grip strength was observed at all doses of Lipase 3, but in the absence of </w:t>
      </w:r>
      <w:r w:rsidR="003B0E17" w:rsidRPr="00955094">
        <w:rPr>
          <w:lang w:bidi="ar-SA"/>
        </w:rPr>
        <w:t xml:space="preserve">a dose-response relationship or </w:t>
      </w:r>
      <w:r w:rsidRPr="00955094">
        <w:rPr>
          <w:lang w:bidi="ar-SA"/>
        </w:rPr>
        <w:t xml:space="preserve">similar changes in fore-limb grip strength these differences were considered to be incidental. No test item-related differences in locomotor activity were </w:t>
      </w:r>
      <w:r w:rsidR="007A37EC" w:rsidRPr="00955094">
        <w:rPr>
          <w:lang w:bidi="ar-SA"/>
        </w:rPr>
        <w:t>noted at any dose level. There were no test item-related differences in food consumption, body weight or body weight gain, ophthalmological examination, haematology, clinical chem</w:t>
      </w:r>
      <w:r w:rsidR="003B0E17" w:rsidRPr="00955094">
        <w:rPr>
          <w:lang w:bidi="ar-SA"/>
        </w:rPr>
        <w:t xml:space="preserve">istry or urinalysis parameters. A small number of statistically significant differences in mean absolute and/or relative organ weights </w:t>
      </w:r>
      <w:r w:rsidR="002E7E02" w:rsidRPr="00955094">
        <w:rPr>
          <w:lang w:bidi="ar-SA"/>
        </w:rPr>
        <w:t>compared with</w:t>
      </w:r>
      <w:r w:rsidR="003B0E17" w:rsidRPr="00955094">
        <w:rPr>
          <w:lang w:bidi="ar-SA"/>
        </w:rPr>
        <w:t xml:space="preserve"> controls were observed, but these changes were not considered to be related to the test item based on a lack of a dose-response relationship and the absence of accompanying histopathologic changes. There were no gross or microscopic lesions that could be attributed to treatment with the test item. </w:t>
      </w:r>
    </w:p>
    <w:p w14:paraId="78DC6141" w14:textId="74BAF04C" w:rsidR="00330182" w:rsidRPr="00955094" w:rsidRDefault="00330182" w:rsidP="00C15A6C">
      <w:pPr>
        <w:rPr>
          <w:lang w:bidi="ar-SA"/>
        </w:rPr>
      </w:pPr>
    </w:p>
    <w:p w14:paraId="42A178D6" w14:textId="628FF02E" w:rsidR="00330182" w:rsidRPr="00955094" w:rsidRDefault="00330182" w:rsidP="00C15A6C">
      <w:pPr>
        <w:rPr>
          <w:lang w:bidi="ar-SA"/>
        </w:rPr>
      </w:pPr>
      <w:r w:rsidRPr="00955094">
        <w:rPr>
          <w:lang w:bidi="ar-SA"/>
        </w:rPr>
        <w:t xml:space="preserve">It was concluded that the no observed adverse effect level (NOAEL) of </w:t>
      </w:r>
      <w:r w:rsidR="00D214DD">
        <w:rPr>
          <w:lang w:bidi="ar-SA"/>
        </w:rPr>
        <w:t>the l</w:t>
      </w:r>
      <w:r w:rsidRPr="00955094">
        <w:rPr>
          <w:lang w:bidi="ar-SA"/>
        </w:rPr>
        <w:t xml:space="preserve">ipase in this study was 160.6 mg/kg bw/day total protein, the highest dose tested. This corresponds to 123.15 mg/kg bw/day TOS or 97,225 mg/kg bw/day LIPU. </w:t>
      </w:r>
    </w:p>
    <w:p w14:paraId="16DC0996" w14:textId="10D64AC8" w:rsidR="00C15A6C" w:rsidRPr="00955094" w:rsidRDefault="00C15A6C" w:rsidP="00BD59CB">
      <w:pPr>
        <w:pStyle w:val="Heading3"/>
      </w:pPr>
      <w:bookmarkStart w:id="50" w:name="_Toc4152940"/>
      <w:r w:rsidRPr="00955094">
        <w:t>3.4.3</w:t>
      </w:r>
      <w:r w:rsidR="0035149D" w:rsidRPr="00955094">
        <w:tab/>
      </w:r>
      <w:r w:rsidRPr="00955094">
        <w:t>Genotoxicity</w:t>
      </w:r>
      <w:bookmarkEnd w:id="50"/>
    </w:p>
    <w:p w14:paraId="5B55DD85" w14:textId="6D528881" w:rsidR="000D244C" w:rsidRPr="00955094" w:rsidRDefault="000D244C" w:rsidP="000D244C">
      <w:pPr>
        <w:pStyle w:val="Heading5"/>
        <w:rPr>
          <w:lang w:eastAsia="en-AU"/>
        </w:rPr>
      </w:pPr>
      <w:r w:rsidRPr="00955094">
        <w:rPr>
          <w:lang w:eastAsia="en-AU"/>
        </w:rPr>
        <w:t>Bacterial reverse mutation assay (</w:t>
      </w:r>
      <w:r w:rsidR="00446F48" w:rsidRPr="00955094">
        <w:rPr>
          <w:lang w:eastAsia="en-AU"/>
        </w:rPr>
        <w:t>Harlan Laboratories</w:t>
      </w:r>
      <w:r w:rsidRPr="00955094">
        <w:rPr>
          <w:lang w:eastAsia="en-AU"/>
        </w:rPr>
        <w:t xml:space="preserve"> 2009</w:t>
      </w:r>
      <w:r w:rsidR="00446F48" w:rsidRPr="00955094">
        <w:rPr>
          <w:lang w:eastAsia="en-AU"/>
        </w:rPr>
        <w:t>a</w:t>
      </w:r>
      <w:r w:rsidRPr="00955094">
        <w:rPr>
          <w:lang w:eastAsia="en-AU"/>
        </w:rPr>
        <w:t>) Regulatory status: GLP; Conducted according to OECD TG 471</w:t>
      </w:r>
    </w:p>
    <w:p w14:paraId="24EF004C" w14:textId="4E7B4946" w:rsidR="004B63D9" w:rsidRPr="00955094" w:rsidRDefault="00206E14" w:rsidP="00AA78CC">
      <w:pPr>
        <w:rPr>
          <w:lang w:eastAsia="en-AU" w:bidi="ar-SA"/>
        </w:rPr>
      </w:pPr>
      <w:r w:rsidRPr="00955094">
        <w:rPr>
          <w:lang w:bidi="ar-SA"/>
        </w:rPr>
        <w:t xml:space="preserve">The mutagenic potential of </w:t>
      </w:r>
      <w:r w:rsidR="00D214DD">
        <w:rPr>
          <w:lang w:bidi="ar-SA"/>
        </w:rPr>
        <w:t>l</w:t>
      </w:r>
      <w:r w:rsidRPr="00955094">
        <w:rPr>
          <w:lang w:bidi="ar-SA"/>
        </w:rPr>
        <w:t>ipase</w:t>
      </w:r>
      <w:r w:rsidRPr="00955094">
        <w:rPr>
          <w:lang w:eastAsia="en-AU" w:bidi="ar-SA"/>
        </w:rPr>
        <w:t xml:space="preserve"> was assessed in a bacterial reverse mutation assay using the plate incorporation (Experiment I) and pre-incubation </w:t>
      </w:r>
      <w:r w:rsidR="00D214DD">
        <w:rPr>
          <w:lang w:eastAsia="en-AU" w:bidi="ar-SA"/>
        </w:rPr>
        <w:t>(</w:t>
      </w:r>
      <w:r w:rsidRPr="00955094">
        <w:rPr>
          <w:lang w:eastAsia="en-AU" w:bidi="ar-SA"/>
        </w:rPr>
        <w:t xml:space="preserve">Experiment II) methods. Bacterial strains used were </w:t>
      </w:r>
      <w:r w:rsidRPr="00955094">
        <w:rPr>
          <w:i/>
          <w:lang w:eastAsia="en-AU" w:bidi="ar-SA"/>
        </w:rPr>
        <w:t>Salmonella typhimurium</w:t>
      </w:r>
      <w:r w:rsidRPr="00955094">
        <w:rPr>
          <w:lang w:eastAsia="en-AU" w:bidi="ar-SA"/>
        </w:rPr>
        <w:t xml:space="preserve"> strains TA 1535, TA 1537, TA 98 and TA 100, and the </w:t>
      </w:r>
      <w:r w:rsidRPr="00955094">
        <w:rPr>
          <w:i/>
          <w:lang w:eastAsia="en-AU" w:bidi="ar-SA"/>
        </w:rPr>
        <w:t>Escherichia coli</w:t>
      </w:r>
      <w:r w:rsidRPr="00955094">
        <w:rPr>
          <w:lang w:eastAsia="en-AU" w:bidi="ar-SA"/>
        </w:rPr>
        <w:t xml:space="preserve"> strain WP2 uvrA. The assays were performed in the presence and absence of metabolic activation (S9 mix). The vehicle was water, and vehicle and untreated controls were included. Positive controls in the absence of metabolic activation were sodium azide (for strains TA 1535 and TA 100), 4-nitro-o-phenylene-diamine (TA 1537 and TA 98) and methyl methane sulfonate (WP2 uvrA). In the presence of metabolic activation the positive control was 2-aminoanthracene. Lipase was tested at 8 concentrations ranging from 3 – 5000 </w:t>
      </w:r>
      <w:r w:rsidRPr="00955094">
        <w:rPr>
          <w:rFonts w:cs="Arial"/>
          <w:lang w:eastAsia="en-AU" w:bidi="ar-SA"/>
        </w:rPr>
        <w:t>µ</w:t>
      </w:r>
      <w:r w:rsidRPr="00955094">
        <w:rPr>
          <w:lang w:eastAsia="en-AU" w:bidi="ar-SA"/>
        </w:rPr>
        <w:t xml:space="preserve">g/plate and each concentration, including the controls, was tested in triplicate. </w:t>
      </w:r>
    </w:p>
    <w:p w14:paraId="3EF461F3" w14:textId="16A74AA9" w:rsidR="00206E14" w:rsidRPr="00955094" w:rsidRDefault="00206E14" w:rsidP="00AA78CC">
      <w:pPr>
        <w:rPr>
          <w:lang w:eastAsia="en-AU" w:bidi="ar-SA"/>
        </w:rPr>
      </w:pPr>
    </w:p>
    <w:p w14:paraId="2AE7F3D0" w14:textId="03EE1E91" w:rsidR="00206E14" w:rsidRPr="00955094" w:rsidRDefault="00206E14" w:rsidP="00AA78CC">
      <w:pPr>
        <w:rPr>
          <w:lang w:eastAsia="en-AU" w:bidi="ar-SA"/>
        </w:rPr>
      </w:pPr>
      <w:r w:rsidRPr="00955094">
        <w:rPr>
          <w:lang w:eastAsia="en-AU" w:bidi="ar-SA"/>
        </w:rPr>
        <w:t xml:space="preserve">Plates incubated with </w:t>
      </w:r>
      <w:r w:rsidR="00D214DD">
        <w:rPr>
          <w:lang w:eastAsia="en-AU" w:bidi="ar-SA"/>
        </w:rPr>
        <w:t>l</w:t>
      </w:r>
      <w:r w:rsidRPr="00955094">
        <w:rPr>
          <w:lang w:eastAsia="en-AU" w:bidi="ar-SA"/>
        </w:rPr>
        <w:t xml:space="preserve">ipase showed normal background growth at all doses with and without metabolic activation in both experiments. </w:t>
      </w:r>
      <w:r w:rsidR="000238E4" w:rsidRPr="00955094">
        <w:rPr>
          <w:lang w:eastAsia="en-AU" w:bidi="ar-SA"/>
        </w:rPr>
        <w:t xml:space="preserve">No substantial increase in the number of revertant </w:t>
      </w:r>
      <w:r w:rsidR="000238E4" w:rsidRPr="00955094">
        <w:rPr>
          <w:lang w:eastAsia="en-AU" w:bidi="ar-SA"/>
        </w:rPr>
        <w:lastRenderedPageBreak/>
        <w:t xml:space="preserve">colonies was observed in any of the test strains following treatment with </w:t>
      </w:r>
      <w:r w:rsidR="00D214DD">
        <w:rPr>
          <w:lang w:eastAsia="en-AU" w:bidi="ar-SA"/>
        </w:rPr>
        <w:t>l</w:t>
      </w:r>
      <w:r w:rsidR="000238E4" w:rsidRPr="00955094">
        <w:rPr>
          <w:lang w:eastAsia="en-AU" w:bidi="ar-SA"/>
        </w:rPr>
        <w:t xml:space="preserve">ipase in the presence or absence of S9. There was also no concentration-related tendency for higher mutation rates below the levels considered of biological relevance. Negative and positive controls produced the expected responses, confirming the validity of the test system. </w:t>
      </w:r>
    </w:p>
    <w:p w14:paraId="4B1CD945" w14:textId="0B430CEB" w:rsidR="000238E4" w:rsidRPr="00955094" w:rsidRDefault="000238E4" w:rsidP="00AA78CC">
      <w:pPr>
        <w:rPr>
          <w:lang w:eastAsia="en-AU" w:bidi="ar-SA"/>
        </w:rPr>
      </w:pPr>
    </w:p>
    <w:p w14:paraId="26535C0E" w14:textId="5B2B4BA4" w:rsidR="000238E4" w:rsidRPr="00955094" w:rsidRDefault="000238E4" w:rsidP="00AA78CC">
      <w:pPr>
        <w:rPr>
          <w:lang w:bidi="ar-SA"/>
        </w:rPr>
      </w:pPr>
      <w:r w:rsidRPr="00955094">
        <w:rPr>
          <w:lang w:bidi="ar-SA"/>
        </w:rPr>
        <w:t xml:space="preserve">Lipase was not mutagenic under the conditions of this study. </w:t>
      </w:r>
    </w:p>
    <w:p w14:paraId="00B90E09" w14:textId="620624BF" w:rsidR="00427AD9" w:rsidRPr="00955094" w:rsidRDefault="00427AD9" w:rsidP="00427AD9">
      <w:pPr>
        <w:pStyle w:val="Heading5"/>
      </w:pPr>
      <w:r w:rsidRPr="00955094">
        <w:t>Chromosome aberration test in human lymphocytes (Bohnenberger 2009) Regulatory status: GLP; conducted according to OECD TG 473</w:t>
      </w:r>
    </w:p>
    <w:p w14:paraId="20BC9A0A" w14:textId="79729905" w:rsidR="00427AD9" w:rsidRPr="00955094" w:rsidRDefault="002D531B" w:rsidP="00AA78CC">
      <w:pPr>
        <w:rPr>
          <w:lang w:eastAsia="en-AU" w:bidi="ar-SA"/>
        </w:rPr>
      </w:pPr>
      <w:r w:rsidRPr="00955094">
        <w:rPr>
          <w:lang w:bidi="ar-SA"/>
        </w:rPr>
        <w:t xml:space="preserve">Lipase </w:t>
      </w:r>
      <w:r w:rsidRPr="00955094">
        <w:rPr>
          <w:lang w:eastAsia="en-AU" w:bidi="ar-SA"/>
        </w:rPr>
        <w:t xml:space="preserve">was tested for its ability to induce structural chromosome aberrations </w:t>
      </w:r>
      <w:r w:rsidRPr="00955094">
        <w:rPr>
          <w:i/>
          <w:lang w:eastAsia="en-AU" w:bidi="ar-SA"/>
        </w:rPr>
        <w:t>in vitro</w:t>
      </w:r>
      <w:r w:rsidRPr="00955094">
        <w:rPr>
          <w:lang w:eastAsia="en-AU" w:bidi="ar-SA"/>
        </w:rPr>
        <w:t xml:space="preserve"> using cultured human lymphocytes. </w:t>
      </w:r>
      <w:r w:rsidR="00645D91" w:rsidRPr="00955094">
        <w:rPr>
          <w:lang w:eastAsia="en-AU" w:bidi="ar-SA"/>
        </w:rPr>
        <w:t xml:space="preserve">The test was performed in the presence and absence of metabolic activation (S9 mix), and the vehicle and negative control was water. Positive controls were cyclophosphamide and ethylmethane sulfonate in the experiments with and without metabolic activation, respectively. Two experiments were performed. In </w:t>
      </w:r>
      <w:r w:rsidR="00B24266" w:rsidRPr="00955094">
        <w:rPr>
          <w:lang w:eastAsia="en-AU" w:bidi="ar-SA"/>
        </w:rPr>
        <w:t>Experiment I</w:t>
      </w:r>
      <w:r w:rsidR="00645D91" w:rsidRPr="00955094">
        <w:rPr>
          <w:lang w:eastAsia="en-AU" w:bidi="ar-SA"/>
        </w:rPr>
        <w:t xml:space="preserve">, the exposure period was 4 hours with and without S9, while in the </w:t>
      </w:r>
      <w:r w:rsidR="00B24266" w:rsidRPr="00955094">
        <w:rPr>
          <w:lang w:eastAsia="en-AU" w:bidi="ar-SA"/>
        </w:rPr>
        <w:t>Experiment II</w:t>
      </w:r>
      <w:r w:rsidR="00645D91" w:rsidRPr="00955094">
        <w:rPr>
          <w:lang w:eastAsia="en-AU" w:bidi="ar-SA"/>
        </w:rPr>
        <w:t xml:space="preserve"> the exposure period was 4 hours with S9 and 22 hours without S9. Both experiments were performed 40 hours after mitogenic stimulation</w:t>
      </w:r>
      <w:r w:rsidR="00B24266" w:rsidRPr="00955094">
        <w:rPr>
          <w:lang w:eastAsia="en-AU" w:bidi="ar-SA"/>
        </w:rPr>
        <w:t xml:space="preserve"> of lymphocytes</w:t>
      </w:r>
      <w:r w:rsidR="00645D91" w:rsidRPr="00955094">
        <w:rPr>
          <w:lang w:eastAsia="en-AU" w:bidi="ar-SA"/>
        </w:rPr>
        <w:t xml:space="preserve"> with phytohaemagglutinin. Chromosomes were prepared 22 hours after the start of treatment with </w:t>
      </w:r>
      <w:r w:rsidR="00D214DD">
        <w:rPr>
          <w:lang w:eastAsia="en-AU" w:bidi="ar-SA"/>
        </w:rPr>
        <w:t>l</w:t>
      </w:r>
      <w:r w:rsidR="00645D91" w:rsidRPr="00955094">
        <w:rPr>
          <w:lang w:eastAsia="en-AU" w:bidi="ar-SA"/>
        </w:rPr>
        <w:t xml:space="preserve">ipase, and colcemid was added to the cultures 3 hours before harvesting. </w:t>
      </w:r>
      <w:r w:rsidR="0046419D" w:rsidRPr="00955094">
        <w:rPr>
          <w:lang w:eastAsia="en-AU" w:bidi="ar-SA"/>
        </w:rPr>
        <w:t>A</w:t>
      </w:r>
      <w:r w:rsidR="00645D91" w:rsidRPr="00955094">
        <w:rPr>
          <w:lang w:eastAsia="en-AU" w:bidi="ar-SA"/>
        </w:rPr>
        <w:t xml:space="preserve">ll experiments </w:t>
      </w:r>
      <w:r w:rsidR="0046419D" w:rsidRPr="00955094">
        <w:rPr>
          <w:lang w:eastAsia="en-AU" w:bidi="ar-SA"/>
        </w:rPr>
        <w:t xml:space="preserve">included </w:t>
      </w:r>
      <w:r w:rsidR="00645D91" w:rsidRPr="00955094">
        <w:rPr>
          <w:lang w:eastAsia="en-AU" w:bidi="ar-SA"/>
        </w:rPr>
        <w:t>two parallel cultures</w:t>
      </w:r>
      <w:r w:rsidR="0046419D" w:rsidRPr="00955094">
        <w:rPr>
          <w:lang w:eastAsia="en-AU" w:bidi="ar-SA"/>
        </w:rPr>
        <w:t xml:space="preserve"> at each test concentration</w:t>
      </w:r>
      <w:r w:rsidR="00645D91" w:rsidRPr="00955094">
        <w:rPr>
          <w:lang w:eastAsia="en-AU" w:bidi="ar-SA"/>
        </w:rPr>
        <w:t>, and 100 metaphase</w:t>
      </w:r>
      <w:r w:rsidR="00B4082C" w:rsidRPr="00955094">
        <w:rPr>
          <w:lang w:eastAsia="en-AU" w:bidi="ar-SA"/>
        </w:rPr>
        <w:t>s</w:t>
      </w:r>
      <w:r w:rsidR="00645D91" w:rsidRPr="00955094">
        <w:rPr>
          <w:lang w:eastAsia="en-AU" w:bidi="ar-SA"/>
        </w:rPr>
        <w:t xml:space="preserve"> per culture were scored for chromosomal aberrations. An exception was the positive control in experiment II with S9 mix, where </w:t>
      </w:r>
      <w:r w:rsidR="00B4082C" w:rsidRPr="00955094">
        <w:rPr>
          <w:lang w:eastAsia="en-AU" w:bidi="ar-SA"/>
        </w:rPr>
        <w:t xml:space="preserve">50 metaphases per culture were scored. The mitotic index of the cultures was assessed by counting 1000 cells per culture. </w:t>
      </w:r>
      <w:r w:rsidR="00B24266" w:rsidRPr="00955094">
        <w:rPr>
          <w:lang w:eastAsia="en-AU" w:bidi="ar-SA"/>
        </w:rPr>
        <w:t>C</w:t>
      </w:r>
      <w:r w:rsidR="005A0A26" w:rsidRPr="00955094">
        <w:rPr>
          <w:lang w:eastAsia="en-AU" w:bidi="ar-SA"/>
        </w:rPr>
        <w:t xml:space="preserve">oncentrations </w:t>
      </w:r>
      <w:r w:rsidR="00B24266" w:rsidRPr="00955094">
        <w:rPr>
          <w:lang w:eastAsia="en-AU" w:bidi="ar-SA"/>
        </w:rPr>
        <w:t xml:space="preserve">of </w:t>
      </w:r>
      <w:r w:rsidR="00D214DD">
        <w:rPr>
          <w:lang w:eastAsia="en-AU" w:bidi="ar-SA"/>
        </w:rPr>
        <w:t>l</w:t>
      </w:r>
      <w:r w:rsidR="00B24266" w:rsidRPr="00955094">
        <w:rPr>
          <w:lang w:eastAsia="en-AU" w:bidi="ar-SA"/>
        </w:rPr>
        <w:t xml:space="preserve">ipase </w:t>
      </w:r>
      <w:r w:rsidR="005A0A26" w:rsidRPr="00955094">
        <w:rPr>
          <w:lang w:eastAsia="en-AU" w:bidi="ar-SA"/>
        </w:rPr>
        <w:t>rang</w:t>
      </w:r>
      <w:r w:rsidR="0046419D" w:rsidRPr="00955094">
        <w:rPr>
          <w:lang w:eastAsia="en-AU" w:bidi="ar-SA"/>
        </w:rPr>
        <w:t>ed</w:t>
      </w:r>
      <w:r w:rsidR="005A0A26" w:rsidRPr="00955094">
        <w:rPr>
          <w:lang w:eastAsia="en-AU" w:bidi="ar-SA"/>
        </w:rPr>
        <w:t xml:space="preserve"> from 32.5 – 5000 </w:t>
      </w:r>
      <w:r w:rsidR="005A0A26" w:rsidRPr="00955094">
        <w:rPr>
          <w:rFonts w:cs="Arial"/>
          <w:lang w:eastAsia="en-AU" w:bidi="ar-SA"/>
        </w:rPr>
        <w:t>µ</w:t>
      </w:r>
      <w:r w:rsidR="005A0A26" w:rsidRPr="00955094">
        <w:rPr>
          <w:lang w:eastAsia="en-AU" w:bidi="ar-SA"/>
        </w:rPr>
        <w:t xml:space="preserve">g/mL </w:t>
      </w:r>
      <w:r w:rsidR="0046419D" w:rsidRPr="00955094">
        <w:rPr>
          <w:lang w:eastAsia="en-AU" w:bidi="ar-SA"/>
        </w:rPr>
        <w:t>and f</w:t>
      </w:r>
      <w:r w:rsidR="005A0A26" w:rsidRPr="00955094">
        <w:rPr>
          <w:lang w:eastAsia="en-AU" w:bidi="ar-SA"/>
        </w:rPr>
        <w:t xml:space="preserve">or all experiments the three highest concentrations (1632.7, 2857.1 and 5000 </w:t>
      </w:r>
      <w:r w:rsidR="005A0A26" w:rsidRPr="00955094">
        <w:rPr>
          <w:rFonts w:cs="Arial"/>
          <w:lang w:eastAsia="en-AU" w:bidi="ar-SA"/>
        </w:rPr>
        <w:t>µ</w:t>
      </w:r>
      <w:r w:rsidR="005A0A26" w:rsidRPr="00955094">
        <w:rPr>
          <w:lang w:eastAsia="en-AU" w:bidi="ar-SA"/>
        </w:rPr>
        <w:t xml:space="preserve">g/mL) were evaluated for chromosomal aberrations. </w:t>
      </w:r>
    </w:p>
    <w:p w14:paraId="70FDF2B5" w14:textId="67796949" w:rsidR="00B4082C" w:rsidRPr="00955094" w:rsidRDefault="00B4082C" w:rsidP="00AA78CC">
      <w:pPr>
        <w:rPr>
          <w:lang w:eastAsia="en-AU" w:bidi="ar-SA"/>
        </w:rPr>
      </w:pPr>
    </w:p>
    <w:p w14:paraId="37C90B75" w14:textId="1DBFF567" w:rsidR="00B4082C" w:rsidRPr="00955094" w:rsidRDefault="00C0619F" w:rsidP="00AA78CC">
      <w:pPr>
        <w:rPr>
          <w:lang w:bidi="ar-SA"/>
        </w:rPr>
      </w:pPr>
      <w:r w:rsidRPr="00955094">
        <w:rPr>
          <w:lang w:bidi="ar-SA"/>
        </w:rPr>
        <w:t>Lipase was not cytotoxic in the presence or absence of metabolic activation in either experiment. No significant increases in the number of cells with struct</w:t>
      </w:r>
      <w:r w:rsidR="006839A3">
        <w:rPr>
          <w:lang w:bidi="ar-SA"/>
        </w:rPr>
        <w:t>ural chromosomal aberrations were</w:t>
      </w:r>
      <w:r w:rsidRPr="00955094">
        <w:rPr>
          <w:lang w:bidi="ar-SA"/>
        </w:rPr>
        <w:t xml:space="preserve"> observed in either experiment compared with the vehicle controls, with or without metabolic activation. The rates of chromosomal aberrations in treated cells were also within the range of the laboratory’s historical negative control data. There was no evidence of an increase in polyploid metaphases after treatment with the test item, compared with negative controls. Both positive controls induced significant increases in the number of cells with structural chromosomal aberrations, confirming the validity of the test system. </w:t>
      </w:r>
    </w:p>
    <w:p w14:paraId="2BC81E04" w14:textId="47A49F9A" w:rsidR="00C0619F" w:rsidRPr="00955094" w:rsidRDefault="00C0619F" w:rsidP="00AA78CC">
      <w:pPr>
        <w:rPr>
          <w:lang w:bidi="ar-SA"/>
        </w:rPr>
      </w:pPr>
    </w:p>
    <w:p w14:paraId="118BA0FA" w14:textId="2A9C0220" w:rsidR="00C0619F" w:rsidRPr="00955094" w:rsidRDefault="00D214DD" w:rsidP="00AA78CC">
      <w:pPr>
        <w:rPr>
          <w:lang w:bidi="ar-SA"/>
        </w:rPr>
      </w:pPr>
      <w:r>
        <w:rPr>
          <w:lang w:bidi="ar-SA"/>
        </w:rPr>
        <w:t>Lipase</w:t>
      </w:r>
      <w:r w:rsidR="00C0619F" w:rsidRPr="00955094">
        <w:rPr>
          <w:lang w:bidi="ar-SA"/>
        </w:rPr>
        <w:t xml:space="preserve"> did not induce structural chromosomal aberrations under the conditions of this study. </w:t>
      </w:r>
    </w:p>
    <w:p w14:paraId="2B37A289" w14:textId="41465E5A" w:rsidR="00C15A6C" w:rsidRDefault="00C15A6C" w:rsidP="00BD59CB">
      <w:pPr>
        <w:pStyle w:val="Heading3"/>
      </w:pPr>
      <w:bookmarkStart w:id="51" w:name="_Toc4152941"/>
      <w:r>
        <w:t>3.4.4</w:t>
      </w:r>
      <w:r w:rsidR="0035149D">
        <w:tab/>
      </w:r>
      <w:r w:rsidR="00F80782">
        <w:t xml:space="preserve">Bioinformatic analysis for </w:t>
      </w:r>
      <w:r>
        <w:t>potential toxicity</w:t>
      </w:r>
      <w:bookmarkEnd w:id="51"/>
      <w:r>
        <w:t xml:space="preserve"> </w:t>
      </w:r>
    </w:p>
    <w:p w14:paraId="439E86A6" w14:textId="3D11ED67" w:rsidR="00F80782" w:rsidRPr="00F80782" w:rsidRDefault="00F80782" w:rsidP="00F80782">
      <w:pPr>
        <w:rPr>
          <w:lang w:eastAsia="en-AU" w:bidi="ar-SA"/>
        </w:rPr>
      </w:pPr>
      <w:r>
        <w:t xml:space="preserve">The applicant provided results from </w:t>
      </w:r>
      <w:r w:rsidRPr="00EB5D13">
        <w:rPr>
          <w:i/>
        </w:rPr>
        <w:t>in silico</w:t>
      </w:r>
      <w:r w:rsidRPr="00F04AB9">
        <w:t xml:space="preserve"> </w:t>
      </w:r>
      <w:r>
        <w:t xml:space="preserve">analyses comparing the amino acid sequence for the </w:t>
      </w:r>
      <w:r w:rsidR="00D214DD">
        <w:t>l</w:t>
      </w:r>
      <w:r>
        <w:rPr>
          <w:rFonts w:cs="Arial"/>
        </w:rPr>
        <w:t xml:space="preserve">ipase </w:t>
      </w:r>
      <w:r>
        <w:t xml:space="preserve">protein with known toxins and antinutrients using the </w:t>
      </w:r>
      <w:hyperlink r:id="rId25" w:history="1">
        <w:r w:rsidRPr="00643AB9">
          <w:rPr>
            <w:rStyle w:val="Hyperlink"/>
          </w:rPr>
          <w:t>UniProtKB annotated Protein Knowledge database</w:t>
        </w:r>
      </w:hyperlink>
      <w:r>
        <w:t xml:space="preserve">. </w:t>
      </w:r>
      <w:r w:rsidR="00643AB9">
        <w:t xml:space="preserve">The vast majority of hits were with lipases, and none of the top 1000 database hits were annotated as toxins or venom proteins. </w:t>
      </w:r>
    </w:p>
    <w:p w14:paraId="382E8460" w14:textId="334AEBF8" w:rsidR="00C15A6C" w:rsidRDefault="00C15A6C" w:rsidP="00BD59CB">
      <w:pPr>
        <w:pStyle w:val="Heading3"/>
      </w:pPr>
      <w:bookmarkStart w:id="52" w:name="_Toc4152942"/>
      <w:r>
        <w:t>3.4.5</w:t>
      </w:r>
      <w:r w:rsidR="0035149D">
        <w:tab/>
      </w:r>
      <w:r w:rsidR="00DE3D91">
        <w:t>P</w:t>
      </w:r>
      <w:r>
        <w:t>otential for allergenicity</w:t>
      </w:r>
      <w:bookmarkEnd w:id="52"/>
      <w:r>
        <w:t xml:space="preserve"> </w:t>
      </w:r>
    </w:p>
    <w:p w14:paraId="4D9C4F84" w14:textId="4A6ECBBB" w:rsidR="006C2320" w:rsidRDefault="00C14F4F" w:rsidP="005E150C">
      <w:pPr>
        <w:rPr>
          <w:lang w:bidi="ar-SA"/>
        </w:rPr>
      </w:pPr>
      <w:r>
        <w:rPr>
          <w:lang w:bidi="ar-SA"/>
        </w:rPr>
        <w:t xml:space="preserve">The applicant provided the results of an </w:t>
      </w:r>
      <w:r w:rsidRPr="001300E8">
        <w:rPr>
          <w:i/>
          <w:lang w:bidi="ar-SA"/>
        </w:rPr>
        <w:t>in silico</w:t>
      </w:r>
      <w:r>
        <w:rPr>
          <w:lang w:bidi="ar-SA"/>
        </w:rPr>
        <w:t xml:space="preserve"> analysis comparing the mature </w:t>
      </w:r>
      <w:r w:rsidR="00D214DD">
        <w:rPr>
          <w:lang w:bidi="ar-SA"/>
        </w:rPr>
        <w:t>l</w:t>
      </w:r>
      <w:r>
        <w:rPr>
          <w:lang w:bidi="ar-SA"/>
        </w:rPr>
        <w:t xml:space="preserve">ipase </w:t>
      </w:r>
      <w:r w:rsidR="001300E8">
        <w:rPr>
          <w:lang w:bidi="ar-SA"/>
        </w:rPr>
        <w:t xml:space="preserve">amino acid </w:t>
      </w:r>
      <w:r>
        <w:rPr>
          <w:lang w:bidi="ar-SA"/>
        </w:rPr>
        <w:t xml:space="preserve">sequence </w:t>
      </w:r>
      <w:r w:rsidR="001300E8">
        <w:rPr>
          <w:lang w:bidi="ar-SA"/>
        </w:rPr>
        <w:t xml:space="preserve">to known allergenic proteins using the Food Allergy Research and Resource Program (University of Nebraska) </w:t>
      </w:r>
      <w:hyperlink r:id="rId26" w:history="1">
        <w:r w:rsidR="001300E8" w:rsidRPr="0046419D">
          <w:rPr>
            <w:rStyle w:val="Hyperlink"/>
            <w:lang w:bidi="ar-SA"/>
          </w:rPr>
          <w:t>AllergenOnline database</w:t>
        </w:r>
      </w:hyperlink>
      <w:r w:rsidR="001300E8">
        <w:rPr>
          <w:lang w:bidi="ar-SA"/>
        </w:rPr>
        <w:t xml:space="preserve">. The searches were performed on 21 September 2017. </w:t>
      </w:r>
    </w:p>
    <w:p w14:paraId="6A1535E6" w14:textId="0D816A02" w:rsidR="00436912" w:rsidRDefault="00436912" w:rsidP="005E150C">
      <w:pPr>
        <w:rPr>
          <w:lang w:bidi="ar-SA"/>
        </w:rPr>
      </w:pPr>
    </w:p>
    <w:p w14:paraId="38CC8354" w14:textId="136487F4" w:rsidR="00436912" w:rsidRDefault="00436912" w:rsidP="005E150C">
      <w:pPr>
        <w:rPr>
          <w:lang w:bidi="ar-SA"/>
        </w:rPr>
      </w:pPr>
      <w:r>
        <w:rPr>
          <w:lang w:bidi="ar-SA"/>
        </w:rPr>
        <w:t xml:space="preserve">Three types of analyses were performed for this comparison: </w:t>
      </w:r>
    </w:p>
    <w:p w14:paraId="12C057A9" w14:textId="52BA82F2" w:rsidR="00436912" w:rsidRDefault="00436912" w:rsidP="005E150C">
      <w:pPr>
        <w:rPr>
          <w:lang w:bidi="ar-SA"/>
        </w:rPr>
      </w:pPr>
    </w:p>
    <w:p w14:paraId="583E568E" w14:textId="3AEA4420" w:rsidR="00436912" w:rsidRDefault="00085326" w:rsidP="00CE2E93">
      <w:pPr>
        <w:pStyle w:val="FSBullet1"/>
      </w:pPr>
      <w:r>
        <w:lastRenderedPageBreak/>
        <w:t xml:space="preserve">A FASTA sliding window search for contiguous 80 amino acid stretches within the </w:t>
      </w:r>
      <w:r w:rsidR="00D214DD">
        <w:t>l</w:t>
      </w:r>
      <w:r>
        <w:t>ipase sequence with greater than 35% identity to known allergens in the database</w:t>
      </w:r>
    </w:p>
    <w:p w14:paraId="6FE023EC" w14:textId="39EA530C" w:rsidR="00085326" w:rsidRDefault="00085326" w:rsidP="00CE2E93">
      <w:pPr>
        <w:pStyle w:val="FSBullet1"/>
      </w:pPr>
      <w:r>
        <w:t>A FASTA search for full-length sequence alignments, with identity matches greater than 50% indicating possible cross-reactivity, using an E-value threshold of 0.1</w:t>
      </w:r>
    </w:p>
    <w:p w14:paraId="6D80CA20" w14:textId="5CE86A2E" w:rsidR="00085326" w:rsidRDefault="00085326" w:rsidP="00CE2E93">
      <w:pPr>
        <w:pStyle w:val="FSBullet1"/>
      </w:pPr>
      <w:r>
        <w:t>A search for exact matches of 8 contiguous amino acid sequences with known allergens</w:t>
      </w:r>
      <w:r w:rsidR="002C110C">
        <w:t>.</w:t>
      </w:r>
    </w:p>
    <w:p w14:paraId="0EF27A3B" w14:textId="57CFD1F0" w:rsidR="00085326" w:rsidRDefault="00085326" w:rsidP="005E150C">
      <w:pPr>
        <w:rPr>
          <w:lang w:bidi="ar-SA"/>
        </w:rPr>
      </w:pPr>
    </w:p>
    <w:p w14:paraId="5AB5D8D9" w14:textId="616107E2" w:rsidR="00CE2E93" w:rsidRDefault="00CE2E93" w:rsidP="005E150C">
      <w:pPr>
        <w:rPr>
          <w:lang w:bidi="ar-SA"/>
        </w:rPr>
      </w:pPr>
      <w:r>
        <w:rPr>
          <w:lang w:bidi="ar-SA"/>
        </w:rPr>
        <w:t xml:space="preserve">No homology was found between the </w:t>
      </w:r>
      <w:r w:rsidR="00D214DD">
        <w:rPr>
          <w:lang w:bidi="ar-SA"/>
        </w:rPr>
        <w:t>l</w:t>
      </w:r>
      <w:r>
        <w:rPr>
          <w:lang w:bidi="ar-SA"/>
        </w:rPr>
        <w:t xml:space="preserve">ipase amino acid sequence and any known allergenic proteins. </w:t>
      </w:r>
    </w:p>
    <w:p w14:paraId="203F2970" w14:textId="4A2DD051" w:rsidR="00DE3D91" w:rsidRDefault="00DE3D91" w:rsidP="005E150C">
      <w:pPr>
        <w:rPr>
          <w:lang w:bidi="ar-SA"/>
        </w:rPr>
      </w:pPr>
    </w:p>
    <w:p w14:paraId="5E427E2E" w14:textId="30036C3B" w:rsidR="002724AD" w:rsidRDefault="00DE3D91" w:rsidP="002724AD">
      <w:pPr>
        <w:rPr>
          <w:lang w:bidi="ar-SA"/>
        </w:rPr>
      </w:pPr>
      <w:r>
        <w:rPr>
          <w:lang w:bidi="ar-SA"/>
        </w:rPr>
        <w:t xml:space="preserve">The applicant has indicated that the </w:t>
      </w:r>
      <w:r w:rsidR="002724AD">
        <w:rPr>
          <w:lang w:bidi="ar-SA"/>
        </w:rPr>
        <w:t xml:space="preserve">final dry products for bakery applications can be spray-dried on potato or wheat starch. Wheat is considered to be a major food allergen, however as bakery products can be produced using wheat no additional allergens are introduced into the final food. </w:t>
      </w:r>
    </w:p>
    <w:p w14:paraId="4E5C1BAC" w14:textId="77777777" w:rsidR="002724AD" w:rsidRDefault="002724AD" w:rsidP="002724AD">
      <w:pPr>
        <w:rPr>
          <w:lang w:bidi="ar-SA"/>
        </w:rPr>
      </w:pPr>
    </w:p>
    <w:p w14:paraId="38E2940A" w14:textId="577051D0" w:rsidR="00EA1825" w:rsidRDefault="002724AD" w:rsidP="002724AD">
      <w:pPr>
        <w:rPr>
          <w:lang w:eastAsia="en-AU" w:bidi="ar-SA"/>
        </w:rPr>
      </w:pPr>
      <w:r>
        <w:rPr>
          <w:lang w:eastAsia="en-AU" w:bidi="ar-SA"/>
        </w:rPr>
        <w:t>Nitrogen sources used in the fermentation medium during manufacture of the enzyme may include soy protein, and glucose and sorbitol products derived from wheat</w:t>
      </w:r>
      <w:r w:rsidR="00EA1825">
        <w:rPr>
          <w:lang w:eastAsia="en-AU" w:bidi="ar-SA"/>
        </w:rPr>
        <w:t xml:space="preserve"> or other gluten-containing cereals</w:t>
      </w:r>
      <w:r>
        <w:rPr>
          <w:lang w:eastAsia="en-AU" w:bidi="ar-SA"/>
        </w:rPr>
        <w:t xml:space="preserve">. </w:t>
      </w:r>
      <w:r w:rsidR="00C77BCF">
        <w:rPr>
          <w:lang w:eastAsia="en-AU" w:bidi="ar-SA"/>
        </w:rPr>
        <w:t xml:space="preserve">Therefore the enzyme preparation may contain traces of cereals or soy. The applicant has estimated that the highest amount of soy protein or cereal protein in the final food would be 2-3 ppb and 5 ppb, respectively. </w:t>
      </w:r>
    </w:p>
    <w:p w14:paraId="50E61499" w14:textId="4C665089" w:rsidR="00C15A6C" w:rsidRDefault="00C15A6C" w:rsidP="002724AD">
      <w:pPr>
        <w:pStyle w:val="Heading3"/>
        <w:ind w:left="0" w:firstLine="0"/>
      </w:pPr>
      <w:bookmarkStart w:id="53" w:name="_Toc4152943"/>
      <w:r>
        <w:t>3.4.6</w:t>
      </w:r>
      <w:r w:rsidR="0035149D">
        <w:tab/>
      </w:r>
      <w:r>
        <w:t>Approvals by other regulatory agencies</w:t>
      </w:r>
      <w:bookmarkEnd w:id="53"/>
    </w:p>
    <w:p w14:paraId="422056D4" w14:textId="613F41E0" w:rsidR="00A30707" w:rsidRDefault="0016333D" w:rsidP="007159D8">
      <w:pPr>
        <w:autoSpaceDE w:val="0"/>
        <w:autoSpaceDN w:val="0"/>
        <w:adjustRightInd w:val="0"/>
        <w:rPr>
          <w:rFonts w:cs="Arial"/>
        </w:rPr>
      </w:pPr>
      <w:r>
        <w:rPr>
          <w:rFonts w:cs="Arial"/>
        </w:rPr>
        <w:t>In the US</w:t>
      </w:r>
      <w:r w:rsidR="00955094">
        <w:rPr>
          <w:rFonts w:cs="Arial"/>
        </w:rPr>
        <w:t>A</w:t>
      </w:r>
      <w:r>
        <w:rPr>
          <w:rFonts w:cs="Arial"/>
        </w:rPr>
        <w:t xml:space="preserve">, a response from the Food and Drug Administration (FDA) to a generally </w:t>
      </w:r>
      <w:r w:rsidR="00955094">
        <w:rPr>
          <w:rFonts w:cs="Arial"/>
        </w:rPr>
        <w:t>recogni</w:t>
      </w:r>
      <w:r w:rsidR="00AD21A3">
        <w:rPr>
          <w:rFonts w:cs="Arial"/>
        </w:rPr>
        <w:t>z</w:t>
      </w:r>
      <w:r w:rsidR="00955094">
        <w:rPr>
          <w:rFonts w:cs="Arial"/>
        </w:rPr>
        <w:t>ed</w:t>
      </w:r>
      <w:r>
        <w:rPr>
          <w:rFonts w:cs="Arial"/>
        </w:rPr>
        <w:t xml:space="preserve"> as safe (GRAS) </w:t>
      </w:r>
      <w:r w:rsidR="00955094">
        <w:rPr>
          <w:rFonts w:cs="Arial"/>
        </w:rPr>
        <w:t xml:space="preserve">notification </w:t>
      </w:r>
      <w:r>
        <w:rPr>
          <w:rFonts w:cs="Arial"/>
        </w:rPr>
        <w:t xml:space="preserve">on </w:t>
      </w:r>
      <w:r w:rsidR="00E735B8">
        <w:rPr>
          <w:rFonts w:cs="Arial"/>
        </w:rPr>
        <w:t xml:space="preserve">the applicant’s </w:t>
      </w:r>
      <w:r>
        <w:rPr>
          <w:rFonts w:cs="Arial"/>
        </w:rPr>
        <w:t>enzyme preparation</w:t>
      </w:r>
      <w:r w:rsidR="00955094">
        <w:rPr>
          <w:rFonts w:cs="Arial"/>
        </w:rPr>
        <w:t xml:space="preserve"> (GRN 808)</w:t>
      </w:r>
      <w:r>
        <w:rPr>
          <w:rFonts w:cs="Arial"/>
        </w:rPr>
        <w:t xml:space="preserve"> is pending. </w:t>
      </w:r>
      <w:r w:rsidR="005B2186">
        <w:rPr>
          <w:rFonts w:cs="Arial"/>
        </w:rPr>
        <w:t xml:space="preserve">No approvals by other regulatory agencies have been identified. </w:t>
      </w:r>
    </w:p>
    <w:p w14:paraId="281442A3" w14:textId="22586438" w:rsidR="00AF0509" w:rsidRPr="00D8467D" w:rsidRDefault="00E47340" w:rsidP="00BD59CB">
      <w:pPr>
        <w:pStyle w:val="Heading1"/>
        <w:ind w:left="567" w:hanging="567"/>
        <w:rPr>
          <w:sz w:val="28"/>
        </w:rPr>
      </w:pPr>
      <w:bookmarkStart w:id="54" w:name="_Toc4152944"/>
      <w:bookmarkStart w:id="55" w:name="_Toc501699836"/>
      <w:r>
        <w:rPr>
          <w:sz w:val="28"/>
        </w:rPr>
        <w:t>4</w:t>
      </w:r>
      <w:r w:rsidR="00AF0509" w:rsidRPr="00D8467D">
        <w:rPr>
          <w:sz w:val="28"/>
        </w:rPr>
        <w:t xml:space="preserve"> </w:t>
      </w:r>
      <w:r w:rsidR="00BD59CB" w:rsidRPr="00D8467D">
        <w:rPr>
          <w:sz w:val="28"/>
        </w:rPr>
        <w:tab/>
      </w:r>
      <w:r w:rsidR="00AF0509" w:rsidRPr="00D8467D">
        <w:rPr>
          <w:sz w:val="28"/>
        </w:rPr>
        <w:t>Conclusions</w:t>
      </w:r>
      <w:bookmarkEnd w:id="54"/>
    </w:p>
    <w:p w14:paraId="372BAB63" w14:textId="3F1B20C2" w:rsidR="00E47340" w:rsidRDefault="00E735B8" w:rsidP="00E735B8">
      <w:r>
        <w:t xml:space="preserve">There are no public health and safety concerns for the general population associated </w:t>
      </w:r>
      <w:r w:rsidRPr="00A16082">
        <w:t xml:space="preserve">with the use of </w:t>
      </w:r>
      <w:r w:rsidR="00D214DD">
        <w:t xml:space="preserve">triacylglycerol lipase from </w:t>
      </w:r>
      <w:r>
        <w:rPr>
          <w:i/>
        </w:rPr>
        <w:t xml:space="preserve">T. reesei </w:t>
      </w:r>
      <w:r w:rsidRPr="00955094">
        <w:rPr>
          <w:rFonts w:cs="Arial"/>
          <w:color w:val="000000" w:themeColor="text1"/>
        </w:rPr>
        <w:t>strain Morph Lip3</w:t>
      </w:r>
      <w:r>
        <w:t xml:space="preserve"> </w:t>
      </w:r>
      <w:r w:rsidRPr="00A16082">
        <w:t>as a food processing aid</w:t>
      </w:r>
      <w:r>
        <w:t>.</w:t>
      </w:r>
    </w:p>
    <w:p w14:paraId="0C359B27" w14:textId="7C579C48" w:rsidR="00E47340" w:rsidRDefault="00E47340" w:rsidP="00E735B8"/>
    <w:p w14:paraId="1D68E9CC" w14:textId="77777777" w:rsidR="00E47340" w:rsidRDefault="00E47340" w:rsidP="00E47340">
      <w:r>
        <w:t>No extraneous coding genetic material is carried across from the donor organism or through the large number of steps leading to the final genetic modification. The modification involving the insertion of the lipase gene has been shown to be stably inherited.</w:t>
      </w:r>
    </w:p>
    <w:p w14:paraId="7133B04D" w14:textId="77777777" w:rsidR="00E47340" w:rsidRDefault="00E47340" w:rsidP="00E735B8"/>
    <w:p w14:paraId="351D1C18" w14:textId="1D1875DE" w:rsidR="00E735B8" w:rsidRDefault="00E735B8" w:rsidP="00E735B8">
      <w:r>
        <w:t>The enzyme showed no evidence of genotoxicity in a bacterial reverse mutation assay or a chromosomal aberration assay in human lymphocytes. In a 90-day oral gavage study in rats, the NOAEL was the highest dose tested,</w:t>
      </w:r>
      <w:r w:rsidRPr="00A16082">
        <w:t xml:space="preserve"> </w:t>
      </w:r>
      <w:r>
        <w:t>160.6</w:t>
      </w:r>
      <w:r w:rsidRPr="00A16082">
        <w:t xml:space="preserve"> mg/kg bw/day total protei</w:t>
      </w:r>
      <w:r>
        <w:t>n, which is equivalent to 123.15</w:t>
      </w:r>
      <w:r w:rsidRPr="00A16082">
        <w:t xml:space="preserve"> mg/kg bw/day TOS.</w:t>
      </w:r>
      <w:r>
        <w:t xml:space="preserve"> </w:t>
      </w:r>
      <w:r w:rsidR="00284789">
        <w:t>T</w:t>
      </w:r>
      <w:r>
        <w:t xml:space="preserve">he applicant’s estimated theoretical maximum daily intake (TMDI) </w:t>
      </w:r>
      <w:r w:rsidR="000E58E7">
        <w:t>based on the proposed uses</w:t>
      </w:r>
      <w:r w:rsidR="003D66E6">
        <w:t xml:space="preserve"> is </w:t>
      </w:r>
      <w:r w:rsidR="000E58E7">
        <w:t>0.410 mg/kg bw/day TOS</w:t>
      </w:r>
      <w:r w:rsidR="003D66E6">
        <w:t>. From these values, the Margin of Exposure is approximately 300.</w:t>
      </w:r>
    </w:p>
    <w:p w14:paraId="38CB92A5" w14:textId="77777777" w:rsidR="00E735B8" w:rsidRDefault="00E735B8" w:rsidP="00E735B8"/>
    <w:p w14:paraId="5FAF5C80" w14:textId="13BF69AA" w:rsidR="00467F4D" w:rsidRDefault="00E735B8" w:rsidP="00467F4D">
      <w:r>
        <w:t>Bioinformatic data indicate a lack of homology with known toxins or allergens, and the enzyme is unlikely to pose an allergenicity concern.</w:t>
      </w:r>
      <w:r w:rsidR="00467F4D">
        <w:t xml:space="preserve"> The applicant has indicated that enzyme products used for bakery production may contain wheat. </w:t>
      </w:r>
      <w:r w:rsidR="00C77BCF">
        <w:t xml:space="preserve">The enzyme product may also contain traces of soy and gluten-containing cereals. </w:t>
      </w:r>
    </w:p>
    <w:p w14:paraId="69B1E01A" w14:textId="145B3EB8" w:rsidR="005651BD" w:rsidRDefault="005651BD" w:rsidP="00E735B8">
      <w:pPr>
        <w:widowControl/>
        <w:rPr>
          <w:b/>
          <w:lang w:eastAsia="en-AU" w:bidi="ar-SA"/>
        </w:rPr>
      </w:pPr>
    </w:p>
    <w:p w14:paraId="0B81D085" w14:textId="24CD8FD8" w:rsidR="005651BD" w:rsidRPr="00451BFF" w:rsidRDefault="005651BD" w:rsidP="00E41133">
      <w:pPr>
        <w:rPr>
          <w:b/>
          <w:lang w:eastAsia="en-AU" w:bidi="ar-SA"/>
        </w:rPr>
      </w:pPr>
      <w:r w:rsidRPr="00EE0B89">
        <w:rPr>
          <w:lang w:eastAsia="en-AU" w:bidi="ar-SA"/>
        </w:rPr>
        <w:t xml:space="preserve">Based on the reviewed data it is concluded that in the absence of any identifiable hazard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sidR="00E47340">
        <w:rPr>
          <w:lang w:eastAsia="en-AU" w:bidi="ar-SA"/>
        </w:rPr>
        <w:t>wa</w:t>
      </w:r>
      <w:r>
        <w:rPr>
          <w:lang w:eastAsia="en-AU" w:bidi="ar-SA"/>
        </w:rPr>
        <w:t>s</w:t>
      </w:r>
      <w:r w:rsidRPr="00EE0B89">
        <w:rPr>
          <w:lang w:eastAsia="en-AU" w:bidi="ar-SA"/>
        </w:rPr>
        <w:t xml:space="preserve"> therefore not required.</w:t>
      </w:r>
    </w:p>
    <w:p w14:paraId="26281CEA" w14:textId="350729C3" w:rsidR="00AF0509" w:rsidRDefault="002B403C" w:rsidP="00BD59CB">
      <w:pPr>
        <w:pStyle w:val="Heading1"/>
        <w:ind w:left="567" w:hanging="567"/>
        <w:rPr>
          <w:sz w:val="28"/>
        </w:rPr>
      </w:pPr>
      <w:bookmarkStart w:id="56" w:name="_Toc4152945"/>
      <w:r>
        <w:rPr>
          <w:sz w:val="28"/>
        </w:rPr>
        <w:t>5</w:t>
      </w:r>
      <w:r w:rsidRPr="00D8467D">
        <w:rPr>
          <w:sz w:val="28"/>
        </w:rPr>
        <w:t xml:space="preserve"> </w:t>
      </w:r>
      <w:r w:rsidR="00BD59CB" w:rsidRPr="00D8467D">
        <w:rPr>
          <w:sz w:val="28"/>
        </w:rPr>
        <w:tab/>
      </w:r>
      <w:r w:rsidR="00AF0509" w:rsidRPr="00D8467D">
        <w:rPr>
          <w:sz w:val="28"/>
        </w:rPr>
        <w:t>References</w:t>
      </w:r>
      <w:bookmarkEnd w:id="55"/>
      <w:bookmarkEnd w:id="56"/>
    </w:p>
    <w:p w14:paraId="2E6B1805" w14:textId="6AEE182A" w:rsidR="00A57FB2" w:rsidRDefault="00A57FB2" w:rsidP="00887AC3">
      <w:pPr>
        <w:ind w:left="426" w:hanging="426"/>
        <w:rPr>
          <w:rFonts w:cs="Arial"/>
          <w:sz w:val="20"/>
          <w:szCs w:val="20"/>
        </w:rPr>
      </w:pPr>
      <w:r>
        <w:rPr>
          <w:rFonts w:eastAsiaTheme="minorHAnsi" w:cs="Arial"/>
          <w:sz w:val="20"/>
          <w:szCs w:val="20"/>
          <w:lang w:val="en-AU" w:bidi="ar-SA"/>
        </w:rPr>
        <w:t xml:space="preserve">Blumenthal CZ (2004) Production of toxic metabolites in </w:t>
      </w:r>
      <w:r>
        <w:rPr>
          <w:rFonts w:eastAsiaTheme="minorHAnsi" w:cs="Arial"/>
          <w:i/>
          <w:sz w:val="20"/>
          <w:szCs w:val="20"/>
          <w:lang w:val="en-AU" w:bidi="ar-SA"/>
        </w:rPr>
        <w:t xml:space="preserve">Aspergillus niger, Aspergillus oryzae, </w:t>
      </w:r>
      <w:r>
        <w:rPr>
          <w:rFonts w:eastAsiaTheme="minorHAnsi" w:cs="Arial"/>
          <w:sz w:val="20"/>
          <w:szCs w:val="20"/>
          <w:lang w:val="en-AU" w:bidi="ar-SA"/>
        </w:rPr>
        <w:t xml:space="preserve">and </w:t>
      </w:r>
      <w:r>
        <w:rPr>
          <w:rFonts w:eastAsiaTheme="minorHAnsi" w:cs="Arial"/>
          <w:i/>
          <w:sz w:val="20"/>
          <w:szCs w:val="20"/>
          <w:lang w:val="en-AU" w:bidi="ar-SA"/>
        </w:rPr>
        <w:lastRenderedPageBreak/>
        <w:t xml:space="preserve">Trichoderma reesei: </w:t>
      </w:r>
      <w:r w:rsidR="00D23EEE">
        <w:rPr>
          <w:rFonts w:eastAsiaTheme="minorHAnsi" w:cs="Arial"/>
          <w:sz w:val="20"/>
          <w:szCs w:val="20"/>
          <w:lang w:val="en-AU" w:bidi="ar-SA"/>
        </w:rPr>
        <w:t>J</w:t>
      </w:r>
      <w:r>
        <w:rPr>
          <w:rFonts w:eastAsiaTheme="minorHAnsi" w:cs="Arial"/>
          <w:sz w:val="20"/>
          <w:szCs w:val="20"/>
          <w:lang w:val="en-AU" w:bidi="ar-SA"/>
        </w:rPr>
        <w:t xml:space="preserve">ustification of mycotoxin testing in food grade enzyme preparations derived from the three fungi. </w:t>
      </w:r>
      <w:r w:rsidR="00447871">
        <w:rPr>
          <w:rFonts w:cs="Arial"/>
          <w:sz w:val="20"/>
          <w:szCs w:val="20"/>
        </w:rPr>
        <w:t>Regulatory Toxicology and Pharmacology 39:214-228</w:t>
      </w:r>
    </w:p>
    <w:p w14:paraId="3B61C1FF" w14:textId="74CA8EFF" w:rsidR="000161C0" w:rsidRPr="000161C0" w:rsidRDefault="000161C0" w:rsidP="000161C0">
      <w:pPr>
        <w:ind w:left="284" w:hanging="284"/>
        <w:rPr>
          <w:sz w:val="20"/>
          <w:szCs w:val="22"/>
        </w:rPr>
      </w:pPr>
      <w:r w:rsidRPr="001E63FB">
        <w:rPr>
          <w:sz w:val="20"/>
          <w:szCs w:val="22"/>
        </w:rPr>
        <w:t xml:space="preserve">Gabrielli E, Fothergill AW, Brescini L, Sutton DA, Marchionni E, Orsetti E, Staffolani S, Castelli P, Gesuita R, Barchiesi F (2014) Osteomyelitis caused by </w:t>
      </w:r>
      <w:r w:rsidRPr="001E63FB">
        <w:rPr>
          <w:i/>
          <w:sz w:val="20"/>
          <w:szCs w:val="22"/>
        </w:rPr>
        <w:t xml:space="preserve">Aspergillus </w:t>
      </w:r>
      <w:r w:rsidRPr="001E63FB">
        <w:rPr>
          <w:sz w:val="20"/>
          <w:szCs w:val="22"/>
        </w:rPr>
        <w:t>species: A review of 310 reported cases. Clin</w:t>
      </w:r>
      <w:r>
        <w:rPr>
          <w:sz w:val="20"/>
          <w:szCs w:val="22"/>
        </w:rPr>
        <w:t>ical</w:t>
      </w:r>
      <w:r w:rsidRPr="001E63FB">
        <w:rPr>
          <w:sz w:val="20"/>
          <w:szCs w:val="22"/>
        </w:rPr>
        <w:t xml:space="preserve"> Microbiol</w:t>
      </w:r>
      <w:r>
        <w:rPr>
          <w:sz w:val="20"/>
          <w:szCs w:val="22"/>
        </w:rPr>
        <w:t>ology</w:t>
      </w:r>
      <w:r w:rsidRPr="001E63FB">
        <w:rPr>
          <w:sz w:val="20"/>
          <w:szCs w:val="22"/>
        </w:rPr>
        <w:t xml:space="preserve"> </w:t>
      </w:r>
      <w:r>
        <w:rPr>
          <w:sz w:val="20"/>
          <w:szCs w:val="22"/>
        </w:rPr>
        <w:t xml:space="preserve">and </w:t>
      </w:r>
      <w:r w:rsidRPr="001E63FB">
        <w:rPr>
          <w:sz w:val="20"/>
          <w:szCs w:val="22"/>
        </w:rPr>
        <w:t>Infect</w:t>
      </w:r>
      <w:r>
        <w:rPr>
          <w:sz w:val="20"/>
          <w:szCs w:val="22"/>
        </w:rPr>
        <w:t>ion</w:t>
      </w:r>
      <w:r w:rsidRPr="001E63FB">
        <w:rPr>
          <w:sz w:val="20"/>
          <w:szCs w:val="22"/>
        </w:rPr>
        <w:t xml:space="preserve"> 20:559-565</w:t>
      </w:r>
      <w:r>
        <w:rPr>
          <w:sz w:val="20"/>
          <w:szCs w:val="22"/>
        </w:rPr>
        <w:t>.</w:t>
      </w:r>
    </w:p>
    <w:p w14:paraId="12051562" w14:textId="576E3E88" w:rsidR="000161C0" w:rsidRPr="00887AC3" w:rsidRDefault="000161C0" w:rsidP="000161C0">
      <w:pPr>
        <w:ind w:left="426" w:hanging="426"/>
        <w:rPr>
          <w:rFonts w:cs="Arial"/>
          <w:sz w:val="20"/>
          <w:szCs w:val="20"/>
        </w:rPr>
      </w:pPr>
      <w:r w:rsidRPr="00887AC3">
        <w:rPr>
          <w:rFonts w:eastAsiaTheme="minorHAnsi" w:cs="Arial"/>
          <w:sz w:val="20"/>
          <w:szCs w:val="20"/>
          <w:lang w:val="en-AU" w:bidi="ar-SA"/>
        </w:rPr>
        <w:t xml:space="preserve">Gruber F, Visser J, Kubicek C.P, de Graaff L.H (1990) </w:t>
      </w:r>
      <w:r w:rsidRPr="00887AC3">
        <w:rPr>
          <w:rFonts w:eastAsiaTheme="minorHAnsi" w:cs="Arial"/>
          <w:sz w:val="20"/>
          <w:szCs w:val="20"/>
          <w:lang w:bidi="ar-SA"/>
        </w:rPr>
        <w:t xml:space="preserve">Cloning of the </w:t>
      </w:r>
      <w:r w:rsidRPr="00887AC3">
        <w:rPr>
          <w:rFonts w:eastAsiaTheme="minorHAnsi" w:cs="Arial"/>
          <w:i/>
          <w:iCs/>
          <w:sz w:val="20"/>
          <w:szCs w:val="20"/>
          <w:lang w:bidi="ar-SA"/>
        </w:rPr>
        <w:t>Trichoderma reesei pyrG</w:t>
      </w:r>
      <w:r w:rsidRPr="00887AC3">
        <w:rPr>
          <w:rFonts w:eastAsiaTheme="minorHAnsi" w:cs="Arial"/>
          <w:sz w:val="20"/>
          <w:szCs w:val="20"/>
          <w:lang w:bidi="ar-SA"/>
        </w:rPr>
        <w:t xml:space="preserve"> gene and its use as a homologous marker for a high-frequency transformation system. Current genetics 18(5): 447-451</w:t>
      </w:r>
    </w:p>
    <w:p w14:paraId="3B08E317" w14:textId="5D389FB9" w:rsidR="00446F48" w:rsidRDefault="00446F48" w:rsidP="00887AC3">
      <w:pPr>
        <w:ind w:left="426" w:hanging="426"/>
        <w:rPr>
          <w:rFonts w:eastAsiaTheme="minorHAnsi" w:cs="Arial"/>
          <w:sz w:val="20"/>
          <w:szCs w:val="20"/>
          <w:lang w:val="en-AU" w:bidi="ar-SA"/>
        </w:rPr>
      </w:pPr>
      <w:r>
        <w:rPr>
          <w:rFonts w:cs="Arial"/>
          <w:sz w:val="20"/>
          <w:szCs w:val="20"/>
        </w:rPr>
        <w:t xml:space="preserve">Harlan Laboratories (2009a) </w:t>
      </w:r>
      <w:r w:rsidRPr="00446F48">
        <w:rPr>
          <w:rFonts w:cs="Arial"/>
          <w:i/>
          <w:sz w:val="20"/>
          <w:szCs w:val="20"/>
        </w:rPr>
        <w:t>Salmonella typhimurium</w:t>
      </w:r>
      <w:r>
        <w:rPr>
          <w:rFonts w:cs="Arial"/>
          <w:sz w:val="20"/>
          <w:szCs w:val="20"/>
        </w:rPr>
        <w:t xml:space="preserve"> and </w:t>
      </w:r>
      <w:r w:rsidRPr="00446F48">
        <w:rPr>
          <w:rFonts w:cs="Arial"/>
          <w:i/>
          <w:sz w:val="20"/>
          <w:szCs w:val="20"/>
        </w:rPr>
        <w:t>Escherichia coli</w:t>
      </w:r>
      <w:r>
        <w:rPr>
          <w:rFonts w:cs="Arial"/>
          <w:sz w:val="20"/>
          <w:szCs w:val="20"/>
        </w:rPr>
        <w:t xml:space="preserve"> reverse mutation assay with Lipase 3 </w:t>
      </w:r>
      <w:r>
        <w:rPr>
          <w:rFonts w:eastAsiaTheme="minorHAnsi" w:cs="Arial"/>
          <w:sz w:val="20"/>
          <w:szCs w:val="20"/>
          <w:lang w:val="en-AU" w:bidi="ar-SA"/>
        </w:rPr>
        <w:t>(</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Harlan Cytotest Cell Research GmbH, Germany. Study No. 1261601.</w:t>
      </w:r>
    </w:p>
    <w:p w14:paraId="60545332" w14:textId="34137F9E" w:rsidR="00446F48" w:rsidRDefault="00446F48" w:rsidP="00887AC3">
      <w:pPr>
        <w:ind w:left="426" w:hanging="426"/>
        <w:rPr>
          <w:rFonts w:cs="Arial"/>
          <w:sz w:val="20"/>
          <w:szCs w:val="20"/>
        </w:rPr>
      </w:pPr>
      <w:r>
        <w:rPr>
          <w:rFonts w:eastAsiaTheme="minorHAnsi" w:cs="Arial"/>
          <w:sz w:val="20"/>
          <w:szCs w:val="20"/>
          <w:lang w:val="en-AU" w:bidi="ar-SA"/>
        </w:rPr>
        <w:t xml:space="preserve">Harlan Laboratories (2009b) Chromosome aberration test in human lymphocytes in vitro with </w:t>
      </w:r>
      <w:r>
        <w:rPr>
          <w:rFonts w:cs="Arial"/>
          <w:sz w:val="20"/>
          <w:szCs w:val="20"/>
        </w:rPr>
        <w:t xml:space="preserve">Lipase 3 </w:t>
      </w:r>
      <w:r>
        <w:rPr>
          <w:rFonts w:eastAsiaTheme="minorHAnsi" w:cs="Arial"/>
          <w:sz w:val="20"/>
          <w:szCs w:val="20"/>
          <w:lang w:val="en-AU" w:bidi="ar-SA"/>
        </w:rPr>
        <w:t>(</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Harlan Cytotest Cell Research GmbH, Germany. Study No. 1261602.</w:t>
      </w:r>
    </w:p>
    <w:p w14:paraId="0FA1D2C4" w14:textId="0144E6C5" w:rsidR="0046419D" w:rsidRDefault="004E329A" w:rsidP="00887AC3">
      <w:pPr>
        <w:ind w:left="426" w:hanging="426"/>
        <w:rPr>
          <w:rFonts w:eastAsiaTheme="minorHAnsi" w:cs="Arial"/>
          <w:sz w:val="20"/>
          <w:szCs w:val="20"/>
          <w:lang w:val="en-AU" w:bidi="ar-SA"/>
        </w:rPr>
      </w:pPr>
      <w:r>
        <w:rPr>
          <w:rFonts w:eastAsiaTheme="minorHAnsi" w:cs="Arial"/>
          <w:sz w:val="20"/>
          <w:szCs w:val="20"/>
          <w:lang w:val="en-AU" w:bidi="ar-SA"/>
        </w:rPr>
        <w:t xml:space="preserve">Harlan Laboratories </w:t>
      </w:r>
      <w:r w:rsidR="0046419D">
        <w:rPr>
          <w:rFonts w:eastAsiaTheme="minorHAnsi" w:cs="Arial"/>
          <w:sz w:val="20"/>
          <w:szCs w:val="20"/>
          <w:lang w:val="en-AU" w:bidi="ar-SA"/>
        </w:rPr>
        <w:t xml:space="preserve">(2010) </w:t>
      </w:r>
      <w:r>
        <w:rPr>
          <w:rFonts w:eastAsiaTheme="minorHAnsi" w:cs="Arial"/>
          <w:sz w:val="20"/>
          <w:szCs w:val="20"/>
          <w:lang w:val="en-AU" w:bidi="ar-SA"/>
        </w:rPr>
        <w:t>LIPASE 3 (</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90-day oral toxicity (gavage) study in the Wistar rat. Harlan Laboratories Ltd., Switzerland. Report No. C64433. </w:t>
      </w:r>
    </w:p>
    <w:p w14:paraId="789EB5AF" w14:textId="03CA7995" w:rsidR="000161C0" w:rsidRPr="000161C0" w:rsidRDefault="000161C0" w:rsidP="000161C0">
      <w:pPr>
        <w:ind w:left="284" w:hanging="284"/>
        <w:rPr>
          <w:color w:val="3333FF"/>
          <w:sz w:val="16"/>
          <w:szCs w:val="20"/>
          <w:u w:val="single"/>
        </w:rPr>
      </w:pPr>
      <w:r w:rsidRPr="001E63FB">
        <w:rPr>
          <w:sz w:val="20"/>
        </w:rPr>
        <w:t xml:space="preserve">Henriet SV, Verweij PE, Warris A (2012) </w:t>
      </w:r>
      <w:r w:rsidRPr="001E63FB">
        <w:rPr>
          <w:i/>
          <w:sz w:val="20"/>
        </w:rPr>
        <w:t>Aspergillus nidulans</w:t>
      </w:r>
      <w:r w:rsidRPr="001E63FB">
        <w:rPr>
          <w:sz w:val="20"/>
        </w:rPr>
        <w:t xml:space="preserve"> and chronic granulomatous disease: a unique host-pathogen interaction. The Journal of Infectious Diseases 206: 1128–1137</w:t>
      </w:r>
      <w:r>
        <w:rPr>
          <w:sz w:val="20"/>
        </w:rPr>
        <w:t>.</w:t>
      </w:r>
    </w:p>
    <w:p w14:paraId="55853878" w14:textId="729C7E1B" w:rsidR="0061383B" w:rsidRPr="00887AC3" w:rsidRDefault="0061383B" w:rsidP="00887AC3">
      <w:pPr>
        <w:ind w:left="426" w:hanging="426"/>
        <w:rPr>
          <w:sz w:val="20"/>
          <w:szCs w:val="20"/>
        </w:rPr>
      </w:pPr>
      <w:r w:rsidRPr="00887AC3">
        <w:rPr>
          <w:sz w:val="20"/>
          <w:szCs w:val="20"/>
        </w:rPr>
        <w:t xml:space="preserve">IUBMB (2018). EC 3.1.1.3 </w:t>
      </w:r>
      <w:hyperlink r:id="rId27" w:history="1">
        <w:r w:rsidRPr="00887AC3">
          <w:rPr>
            <w:rStyle w:val="Hyperlink"/>
            <w:sz w:val="20"/>
            <w:szCs w:val="20"/>
          </w:rPr>
          <w:t>http://www.sbcs.qmul.ac.uk/iubmb/enzyme/EC3/1/1/3.html</w:t>
        </w:r>
      </w:hyperlink>
      <w:r w:rsidRPr="00887AC3">
        <w:rPr>
          <w:sz w:val="20"/>
          <w:szCs w:val="20"/>
        </w:rPr>
        <w:t xml:space="preserve">. Accessed 16 October 2018. </w:t>
      </w:r>
    </w:p>
    <w:p w14:paraId="3304E926" w14:textId="77777777" w:rsidR="00887AC3" w:rsidRPr="00887AC3" w:rsidRDefault="00887AC3" w:rsidP="00887AC3">
      <w:pPr>
        <w:ind w:left="426" w:hanging="426"/>
        <w:rPr>
          <w:rFonts w:cs="Arial"/>
          <w:sz w:val="20"/>
          <w:szCs w:val="20"/>
        </w:rPr>
      </w:pPr>
      <w:r w:rsidRPr="00887AC3">
        <w:rPr>
          <w:rFonts w:cs="Arial"/>
          <w:sz w:val="20"/>
          <w:szCs w:val="20"/>
        </w:rPr>
        <w:t xml:space="preserve">Karhunen T, Mäntylä A, Nevalainen KMH,.Suominen P. L. (1993) High frequency one-step gene replacement in Trichoderma reesei. I. Endoglucanase I overproduction. </w:t>
      </w:r>
      <w:r w:rsidRPr="00887AC3">
        <w:rPr>
          <w:rFonts w:cs="Arial"/>
          <w:iCs/>
          <w:sz w:val="20"/>
          <w:szCs w:val="20"/>
        </w:rPr>
        <w:t>Molecular &amp; General Genetics</w:t>
      </w:r>
      <w:r w:rsidRPr="00887AC3">
        <w:rPr>
          <w:rFonts w:cs="Arial"/>
          <w:i/>
          <w:iCs/>
          <w:sz w:val="20"/>
          <w:szCs w:val="20"/>
        </w:rPr>
        <w:t xml:space="preserve"> </w:t>
      </w:r>
      <w:r w:rsidRPr="00887AC3">
        <w:rPr>
          <w:rFonts w:cs="Arial"/>
          <w:sz w:val="20"/>
          <w:szCs w:val="20"/>
        </w:rPr>
        <w:t>241 (5-6): 515–522.</w:t>
      </w:r>
    </w:p>
    <w:p w14:paraId="5E712541" w14:textId="52D9212C" w:rsidR="00887AC3" w:rsidRDefault="00887AC3" w:rsidP="00887AC3">
      <w:pPr>
        <w:ind w:left="426" w:hanging="426"/>
        <w:rPr>
          <w:rFonts w:cs="Arial"/>
          <w:sz w:val="20"/>
          <w:szCs w:val="20"/>
        </w:rPr>
      </w:pPr>
      <w:r w:rsidRPr="00887AC3">
        <w:rPr>
          <w:rFonts w:cs="Arial"/>
          <w:sz w:val="20"/>
          <w:szCs w:val="20"/>
        </w:rPr>
        <w:t xml:space="preserve">Kelly JM,; Hynes MJ (1985) Transformation of </w:t>
      </w:r>
      <w:r w:rsidRPr="00887AC3">
        <w:rPr>
          <w:rFonts w:cs="Arial"/>
          <w:i/>
          <w:sz w:val="20"/>
          <w:szCs w:val="20"/>
        </w:rPr>
        <w:t>Aspergillus niger</w:t>
      </w:r>
      <w:r w:rsidRPr="00887AC3">
        <w:rPr>
          <w:rFonts w:cs="Arial"/>
          <w:sz w:val="20"/>
          <w:szCs w:val="20"/>
        </w:rPr>
        <w:t xml:space="preserve"> by the </w:t>
      </w:r>
      <w:r w:rsidRPr="00887AC3">
        <w:rPr>
          <w:rFonts w:cs="Arial"/>
          <w:i/>
          <w:sz w:val="20"/>
          <w:szCs w:val="20"/>
        </w:rPr>
        <w:t>amdS</w:t>
      </w:r>
      <w:r w:rsidRPr="00887AC3">
        <w:rPr>
          <w:rFonts w:cs="Arial"/>
          <w:sz w:val="20"/>
          <w:szCs w:val="20"/>
        </w:rPr>
        <w:t xml:space="preserve"> gene of </w:t>
      </w:r>
      <w:r w:rsidRPr="00887AC3">
        <w:rPr>
          <w:rFonts w:cs="Arial"/>
          <w:i/>
          <w:sz w:val="20"/>
          <w:szCs w:val="20"/>
        </w:rPr>
        <w:t>Aspergillus nidulans</w:t>
      </w:r>
      <w:r w:rsidRPr="00887AC3">
        <w:rPr>
          <w:rFonts w:cs="Arial"/>
          <w:sz w:val="20"/>
          <w:szCs w:val="20"/>
        </w:rPr>
        <w:t xml:space="preserve"> The EMBO Journal 4(2) 475 – 479</w:t>
      </w:r>
    </w:p>
    <w:p w14:paraId="6EDA7A1E" w14:textId="0D6DD6AF" w:rsidR="004E329A" w:rsidRPr="00887AC3" w:rsidRDefault="004E329A" w:rsidP="00887AC3">
      <w:pPr>
        <w:ind w:left="426" w:hanging="426"/>
        <w:rPr>
          <w:rFonts w:cs="Arial"/>
          <w:sz w:val="20"/>
          <w:szCs w:val="20"/>
        </w:rPr>
      </w:pPr>
      <w:r>
        <w:rPr>
          <w:rFonts w:cs="Arial"/>
          <w:sz w:val="20"/>
          <w:szCs w:val="20"/>
        </w:rPr>
        <w:t xml:space="preserve">MB Research Laboratories (2009) Acute oral toxicity – up and down procedure. Lipase 3 </w:t>
      </w:r>
      <w:r>
        <w:rPr>
          <w:rFonts w:eastAsiaTheme="minorHAnsi" w:cs="Arial"/>
          <w:sz w:val="20"/>
          <w:szCs w:val="20"/>
          <w:lang w:val="en-AU" w:bidi="ar-SA"/>
        </w:rPr>
        <w:t>(</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Lot# 20088167. MB Research Laboratories, USA. Report No. MB 09-18028.01</w:t>
      </w:r>
    </w:p>
    <w:p w14:paraId="0281DB24" w14:textId="6694D588" w:rsidR="00A57FB2" w:rsidRPr="00A57FB2" w:rsidRDefault="00A57FB2" w:rsidP="00887AC3">
      <w:pPr>
        <w:ind w:left="426" w:hanging="426"/>
        <w:rPr>
          <w:rFonts w:cs="Arial"/>
          <w:sz w:val="20"/>
          <w:szCs w:val="20"/>
        </w:rPr>
      </w:pPr>
      <w:r>
        <w:rPr>
          <w:rFonts w:cs="Arial"/>
          <w:sz w:val="20"/>
          <w:szCs w:val="20"/>
        </w:rPr>
        <w:t xml:space="preserve">Nevalainen, H., Suominen, P.; Taimisto, K. (1994) On the safety of </w:t>
      </w:r>
      <w:r>
        <w:rPr>
          <w:rFonts w:cs="Arial"/>
          <w:i/>
          <w:sz w:val="20"/>
          <w:szCs w:val="20"/>
        </w:rPr>
        <w:t xml:space="preserve">Trichoderma reesei. </w:t>
      </w:r>
      <w:r w:rsidR="00D23EEE">
        <w:rPr>
          <w:rFonts w:cs="Arial"/>
          <w:sz w:val="20"/>
          <w:szCs w:val="20"/>
        </w:rPr>
        <w:t>Journa</w:t>
      </w:r>
      <w:r>
        <w:rPr>
          <w:rFonts w:cs="Arial"/>
          <w:sz w:val="20"/>
          <w:szCs w:val="20"/>
        </w:rPr>
        <w:t>l of Biotechnology 37:193-200</w:t>
      </w:r>
    </w:p>
    <w:p w14:paraId="71736FAE" w14:textId="5DF6E159" w:rsidR="00A57FB2" w:rsidRDefault="00A57FB2" w:rsidP="00887AC3">
      <w:pPr>
        <w:ind w:left="426" w:hanging="426"/>
        <w:rPr>
          <w:rFonts w:cs="Arial"/>
          <w:sz w:val="20"/>
          <w:szCs w:val="20"/>
        </w:rPr>
      </w:pPr>
      <w:r>
        <w:rPr>
          <w:rFonts w:cs="Arial"/>
          <w:sz w:val="20"/>
          <w:szCs w:val="20"/>
        </w:rPr>
        <w:t>Olempska-Beer, ZS, Merker, RI, Ditto, MD, DiNovi MJ (2006) Food-processing enzymes from recombinant mi</w:t>
      </w:r>
      <w:r w:rsidR="00D23EEE">
        <w:rPr>
          <w:rFonts w:cs="Arial"/>
          <w:sz w:val="20"/>
          <w:szCs w:val="20"/>
        </w:rPr>
        <w:t>croorganisms – A</w:t>
      </w:r>
      <w:r>
        <w:rPr>
          <w:rFonts w:cs="Arial"/>
          <w:sz w:val="20"/>
          <w:szCs w:val="20"/>
        </w:rPr>
        <w:t xml:space="preserve"> review. Regulatory Toxicology and Pharmacology 45:144-158</w:t>
      </w:r>
    </w:p>
    <w:p w14:paraId="39AA342F" w14:textId="71917EEE" w:rsidR="00610120" w:rsidRDefault="00887AC3" w:rsidP="00887AC3">
      <w:pPr>
        <w:ind w:left="426" w:hanging="426"/>
        <w:rPr>
          <w:rFonts w:cs="Arial"/>
          <w:sz w:val="20"/>
          <w:szCs w:val="20"/>
        </w:rPr>
      </w:pPr>
      <w:r w:rsidRPr="00887AC3">
        <w:rPr>
          <w:rFonts w:cs="Arial"/>
          <w:sz w:val="20"/>
          <w:szCs w:val="20"/>
        </w:rPr>
        <w:t xml:space="preserve">Penttilä M, Nevalainen H, Rättö M, Salminen E, Knowles J (1987) A versatile transformation system for the cellulolytic filamentous fungus </w:t>
      </w:r>
      <w:r w:rsidRPr="00887AC3">
        <w:rPr>
          <w:rFonts w:cs="Arial"/>
          <w:i/>
          <w:sz w:val="20"/>
          <w:szCs w:val="20"/>
        </w:rPr>
        <w:t>Trichoderma reesei.</w:t>
      </w:r>
      <w:r w:rsidRPr="00887AC3">
        <w:rPr>
          <w:rFonts w:cs="Arial"/>
          <w:sz w:val="20"/>
          <w:szCs w:val="20"/>
        </w:rPr>
        <w:t xml:space="preserve"> </w:t>
      </w:r>
      <w:r w:rsidRPr="00887AC3">
        <w:rPr>
          <w:rFonts w:cs="Arial"/>
          <w:i/>
          <w:iCs/>
          <w:sz w:val="20"/>
          <w:szCs w:val="20"/>
        </w:rPr>
        <w:t xml:space="preserve">Gene </w:t>
      </w:r>
      <w:r w:rsidRPr="00887AC3">
        <w:rPr>
          <w:rFonts w:cs="Arial"/>
          <w:sz w:val="20"/>
          <w:szCs w:val="20"/>
        </w:rPr>
        <w:t>61 (2): 155–164</w:t>
      </w:r>
    </w:p>
    <w:p w14:paraId="75BF7142" w14:textId="4CFC60D5" w:rsidR="00372638" w:rsidRDefault="00372638" w:rsidP="00887AC3">
      <w:pPr>
        <w:ind w:left="426" w:hanging="426"/>
        <w:rPr>
          <w:rFonts w:cs="Arial"/>
          <w:sz w:val="20"/>
          <w:szCs w:val="20"/>
        </w:rPr>
      </w:pPr>
      <w:r>
        <w:rPr>
          <w:rFonts w:cs="Arial"/>
          <w:sz w:val="20"/>
          <w:szCs w:val="20"/>
        </w:rPr>
        <w:t xml:space="preserve">Seidl V, Seiboth B (2010) </w:t>
      </w:r>
      <w:r w:rsidRPr="00372638">
        <w:rPr>
          <w:rFonts w:cs="Arial"/>
          <w:i/>
          <w:sz w:val="20"/>
          <w:szCs w:val="20"/>
        </w:rPr>
        <w:t>Trichoderma reesei</w:t>
      </w:r>
      <w:r>
        <w:rPr>
          <w:rFonts w:cs="Arial"/>
          <w:sz w:val="20"/>
          <w:szCs w:val="20"/>
        </w:rPr>
        <w:t xml:space="preserve">: genetic approaches to improving strain efficiency. Biofuels 1(2): 343 – 354. </w:t>
      </w:r>
      <w:hyperlink r:id="rId28" w:history="1">
        <w:r w:rsidRPr="002151FF">
          <w:rPr>
            <w:rStyle w:val="Hyperlink"/>
            <w:rFonts w:ascii="OpenSans" w:hAnsi="OpenSans" w:cs="OpenSans"/>
            <w:sz w:val="20"/>
            <w:szCs w:val="20"/>
            <w:lang w:eastAsia="en-GB" w:bidi="ar-SA"/>
          </w:rPr>
          <w:t>https://doi.org/10.4155/bfs.10.1</w:t>
        </w:r>
      </w:hyperlink>
      <w:r>
        <w:rPr>
          <w:rFonts w:ascii="OpenSans" w:hAnsi="OpenSans" w:cs="OpenSans"/>
          <w:sz w:val="20"/>
          <w:szCs w:val="20"/>
          <w:lang w:eastAsia="en-GB" w:bidi="ar-SA"/>
        </w:rPr>
        <w:t xml:space="preserve"> </w:t>
      </w:r>
      <w:r>
        <w:rPr>
          <w:rFonts w:ascii="ArialUnicodeMS" w:hAnsi="ArialUnicodeMS" w:cs="ArialUnicodeMS"/>
          <w:sz w:val="20"/>
          <w:szCs w:val="20"/>
          <w:lang w:eastAsia="en-GB" w:bidi="ar-SA"/>
        </w:rPr>
        <w:t xml:space="preserve"> </w:t>
      </w:r>
    </w:p>
    <w:p w14:paraId="34EF8852" w14:textId="715026D5" w:rsidR="00887AC3" w:rsidRPr="00887AC3" w:rsidRDefault="00610120" w:rsidP="00887AC3">
      <w:pPr>
        <w:ind w:left="426" w:hanging="426"/>
        <w:rPr>
          <w:rFonts w:cs="Arial"/>
          <w:sz w:val="20"/>
          <w:szCs w:val="20"/>
        </w:rPr>
      </w:pPr>
      <w:r w:rsidRPr="00036AF2">
        <w:rPr>
          <w:rStyle w:val="highwire-citation-author2"/>
          <w:rFonts w:cs="Arial"/>
          <w:color w:val="333333"/>
          <w:sz w:val="20"/>
          <w:szCs w:val="20"/>
          <w:lang w:val="en"/>
        </w:rPr>
        <w:t>Seidl</w:t>
      </w:r>
      <w:r w:rsidRPr="00036AF2">
        <w:rPr>
          <w:rStyle w:val="highwire-citation-authors"/>
          <w:rFonts w:cs="Arial"/>
          <w:color w:val="333333"/>
          <w:sz w:val="20"/>
          <w:szCs w:val="20"/>
          <w:lang w:val="en"/>
        </w:rPr>
        <w:t xml:space="preserve"> V, </w:t>
      </w:r>
      <w:r w:rsidRPr="00036AF2">
        <w:rPr>
          <w:rStyle w:val="highwire-citation-author2"/>
          <w:rFonts w:cs="Arial"/>
          <w:color w:val="333333"/>
          <w:sz w:val="20"/>
          <w:szCs w:val="20"/>
          <w:lang w:val="en"/>
        </w:rPr>
        <w:t>Seibel</w:t>
      </w:r>
      <w:r w:rsidRPr="00036AF2">
        <w:rPr>
          <w:rStyle w:val="highwire-citation-authors"/>
          <w:rFonts w:cs="Arial"/>
          <w:color w:val="333333"/>
          <w:sz w:val="20"/>
          <w:szCs w:val="20"/>
          <w:lang w:val="en"/>
        </w:rPr>
        <w:t xml:space="preserve"> C, </w:t>
      </w:r>
      <w:r w:rsidRPr="00036AF2">
        <w:rPr>
          <w:rStyle w:val="highwire-citation-author2"/>
          <w:rFonts w:cs="Arial"/>
          <w:color w:val="333333"/>
          <w:sz w:val="20"/>
          <w:szCs w:val="20"/>
          <w:lang w:val="en"/>
        </w:rPr>
        <w:t>Kubicek</w:t>
      </w:r>
      <w:r w:rsidRPr="00036AF2">
        <w:rPr>
          <w:rStyle w:val="highwire-citation-authors"/>
          <w:rFonts w:cs="Arial"/>
          <w:color w:val="333333"/>
          <w:sz w:val="20"/>
          <w:szCs w:val="20"/>
          <w:lang w:val="en"/>
        </w:rPr>
        <w:t xml:space="preserve"> CP, </w:t>
      </w:r>
      <w:r w:rsidRPr="00036AF2">
        <w:rPr>
          <w:rStyle w:val="highwire-citation-author2"/>
          <w:rFonts w:cs="Arial"/>
          <w:color w:val="333333"/>
          <w:sz w:val="20"/>
          <w:szCs w:val="20"/>
          <w:lang w:val="en"/>
        </w:rPr>
        <w:t xml:space="preserve">Schmoll M (2009) </w:t>
      </w:r>
      <w:r w:rsidRPr="00036AF2">
        <w:rPr>
          <w:rFonts w:cs="Arial"/>
          <w:sz w:val="20"/>
          <w:szCs w:val="20"/>
          <w:lang w:val="en"/>
        </w:rPr>
        <w:t xml:space="preserve">Sexual development in the industrial workhorse </w:t>
      </w:r>
      <w:r w:rsidRPr="00036AF2">
        <w:rPr>
          <w:rStyle w:val="Emphasis"/>
          <w:rFonts w:cs="Arial"/>
          <w:sz w:val="20"/>
          <w:szCs w:val="20"/>
          <w:lang w:val="en"/>
        </w:rPr>
        <w:t xml:space="preserve">Trichoderma reesei. Proceedings of the National Academy of Sciences </w:t>
      </w:r>
      <w:r w:rsidRPr="00036AF2">
        <w:rPr>
          <w:rStyle w:val="highwire-cite-metadata-volume"/>
          <w:rFonts w:cs="Arial"/>
          <w:color w:val="333333"/>
          <w:sz w:val="20"/>
          <w:szCs w:val="20"/>
          <w:lang w:val="en"/>
        </w:rPr>
        <w:t xml:space="preserve">106 </w:t>
      </w:r>
      <w:r w:rsidRPr="00036AF2">
        <w:rPr>
          <w:rStyle w:val="highwire-cite-metadata-issue"/>
          <w:rFonts w:cs="Arial"/>
          <w:color w:val="333333"/>
          <w:sz w:val="20"/>
          <w:szCs w:val="20"/>
          <w:lang w:val="en"/>
        </w:rPr>
        <w:t xml:space="preserve">(33) </w:t>
      </w:r>
      <w:r w:rsidRPr="00036AF2">
        <w:rPr>
          <w:rStyle w:val="highwire-cite-metadata-pages"/>
          <w:rFonts w:cs="Arial"/>
          <w:color w:val="333333"/>
          <w:sz w:val="20"/>
          <w:szCs w:val="20"/>
          <w:lang w:val="en"/>
        </w:rPr>
        <w:t xml:space="preserve">13909-13914; </w:t>
      </w:r>
      <w:hyperlink r:id="rId29" w:history="1">
        <w:r w:rsidRPr="00036AF2">
          <w:rPr>
            <w:rStyle w:val="Hyperlink"/>
            <w:rFonts w:eastAsiaTheme="majorEastAsia" w:cs="Arial"/>
            <w:sz w:val="20"/>
            <w:szCs w:val="20"/>
            <w:lang w:val="en"/>
          </w:rPr>
          <w:t>https://doi.org/10.1073/pnas.0904936106</w:t>
        </w:r>
      </w:hyperlink>
      <w:r w:rsidR="00887AC3" w:rsidRPr="00887AC3">
        <w:rPr>
          <w:rFonts w:cs="Arial"/>
          <w:sz w:val="20"/>
          <w:szCs w:val="20"/>
        </w:rPr>
        <w:t>.</w:t>
      </w:r>
    </w:p>
    <w:p w14:paraId="09D0A0C1" w14:textId="77777777" w:rsidR="00887AC3" w:rsidRPr="00887AC3" w:rsidRDefault="00887AC3" w:rsidP="00887AC3">
      <w:pPr>
        <w:ind w:left="426" w:hanging="426"/>
        <w:rPr>
          <w:rFonts w:eastAsiaTheme="minorHAnsi" w:cs="Arial"/>
          <w:sz w:val="20"/>
          <w:szCs w:val="20"/>
          <w:lang w:bidi="ar-SA"/>
        </w:rPr>
      </w:pPr>
      <w:r w:rsidRPr="00887AC3">
        <w:rPr>
          <w:rFonts w:eastAsiaTheme="minorHAnsi" w:cs="Arial"/>
          <w:sz w:val="20"/>
          <w:szCs w:val="20"/>
          <w:lang w:val="en-AU" w:bidi="ar-SA"/>
        </w:rPr>
        <w:t xml:space="preserve">Sheir-Neiss, G; Montenecourt B.S (1984) </w:t>
      </w:r>
      <w:r w:rsidRPr="00887AC3">
        <w:rPr>
          <w:rFonts w:eastAsiaTheme="minorHAnsi" w:cs="Arial"/>
          <w:sz w:val="20"/>
          <w:szCs w:val="20"/>
          <w:lang w:bidi="ar-SA"/>
        </w:rPr>
        <w:t xml:space="preserve">Characterization of the secreted cellulases of </w:t>
      </w:r>
      <w:r w:rsidRPr="00887AC3">
        <w:rPr>
          <w:rFonts w:eastAsiaTheme="minorHAnsi" w:cs="Arial"/>
          <w:i/>
          <w:iCs/>
          <w:sz w:val="20"/>
          <w:szCs w:val="20"/>
          <w:lang w:bidi="ar-SA"/>
        </w:rPr>
        <w:t>Trichoderma reesei</w:t>
      </w:r>
      <w:r w:rsidRPr="00887AC3">
        <w:rPr>
          <w:rFonts w:eastAsiaTheme="minorHAnsi" w:cs="Arial"/>
          <w:sz w:val="20"/>
          <w:szCs w:val="20"/>
          <w:lang w:bidi="ar-SA"/>
        </w:rPr>
        <w:t xml:space="preserve"> wild type and mutants during controlled fermentations. Applied Microbiology and Biotechnology 20)1): 46-53</w:t>
      </w:r>
    </w:p>
    <w:p w14:paraId="23B3D386" w14:textId="77777777" w:rsidR="00887AC3" w:rsidRPr="00887AC3" w:rsidRDefault="00887AC3" w:rsidP="00887AC3">
      <w:pPr>
        <w:widowControl/>
        <w:autoSpaceDE w:val="0"/>
        <w:autoSpaceDN w:val="0"/>
        <w:adjustRightInd w:val="0"/>
        <w:ind w:left="426" w:hanging="426"/>
        <w:rPr>
          <w:rFonts w:eastAsiaTheme="minorHAnsi" w:cs="Arial"/>
          <w:sz w:val="20"/>
          <w:szCs w:val="20"/>
          <w:lang w:bidi="ar-SA"/>
        </w:rPr>
      </w:pPr>
      <w:r w:rsidRPr="00887AC3">
        <w:rPr>
          <w:rFonts w:eastAsiaTheme="minorHAnsi" w:cs="Arial"/>
          <w:sz w:val="20"/>
          <w:szCs w:val="20"/>
          <w:lang w:bidi="ar-SA"/>
        </w:rPr>
        <w:t xml:space="preserve">Smith JL, Bayliss FT, Ward M (1991) Sequence of the cloned </w:t>
      </w:r>
      <w:r w:rsidRPr="00887AC3">
        <w:rPr>
          <w:rFonts w:eastAsiaTheme="minorHAnsi" w:cs="Arial"/>
          <w:i/>
          <w:iCs/>
          <w:sz w:val="20"/>
          <w:szCs w:val="20"/>
          <w:lang w:bidi="ar-SA"/>
        </w:rPr>
        <w:t>pyr4</w:t>
      </w:r>
      <w:r w:rsidRPr="00887AC3">
        <w:rPr>
          <w:rFonts w:eastAsiaTheme="minorHAnsi" w:cs="Arial"/>
          <w:sz w:val="20"/>
          <w:szCs w:val="20"/>
          <w:lang w:bidi="ar-SA"/>
        </w:rPr>
        <w:t xml:space="preserve"> gene of </w:t>
      </w:r>
      <w:r w:rsidRPr="00887AC3">
        <w:rPr>
          <w:rFonts w:eastAsiaTheme="minorHAnsi" w:cs="Arial"/>
          <w:i/>
          <w:iCs/>
          <w:sz w:val="20"/>
          <w:szCs w:val="20"/>
          <w:lang w:bidi="ar-SA"/>
        </w:rPr>
        <w:t>Trichoderma</w:t>
      </w:r>
      <w:r w:rsidRPr="00887AC3">
        <w:rPr>
          <w:rFonts w:eastAsiaTheme="minorHAnsi" w:cs="Arial"/>
          <w:sz w:val="20"/>
          <w:szCs w:val="20"/>
          <w:lang w:bidi="ar-SA"/>
        </w:rPr>
        <w:t xml:space="preserve"> </w:t>
      </w:r>
      <w:r w:rsidRPr="00887AC3">
        <w:rPr>
          <w:rFonts w:eastAsiaTheme="minorHAnsi" w:cs="Arial"/>
          <w:i/>
          <w:iCs/>
          <w:sz w:val="20"/>
          <w:szCs w:val="20"/>
          <w:lang w:bidi="ar-SA"/>
        </w:rPr>
        <w:t xml:space="preserve">reesei </w:t>
      </w:r>
      <w:r w:rsidRPr="00887AC3">
        <w:rPr>
          <w:rFonts w:eastAsiaTheme="minorHAnsi" w:cs="Arial"/>
          <w:sz w:val="20"/>
          <w:szCs w:val="20"/>
          <w:lang w:bidi="ar-SA"/>
        </w:rPr>
        <w:t>and its use as a homologous selectable marker for transformation. Current Genetics 19(1): 27-33</w:t>
      </w:r>
    </w:p>
    <w:p w14:paraId="44C67320" w14:textId="77777777" w:rsidR="00887AC3" w:rsidRPr="00036AF2" w:rsidRDefault="00887AC3" w:rsidP="00887AC3">
      <w:pPr>
        <w:ind w:left="426" w:hanging="426"/>
        <w:rPr>
          <w:rFonts w:cs="Arial"/>
          <w:sz w:val="20"/>
          <w:szCs w:val="20"/>
        </w:rPr>
      </w:pPr>
    </w:p>
    <w:p w14:paraId="198FE1D9" w14:textId="77777777" w:rsidR="0061383B" w:rsidRPr="0061383B" w:rsidRDefault="0061383B" w:rsidP="0061383B">
      <w:pPr>
        <w:rPr>
          <w:lang w:bidi="ar-SA"/>
        </w:rPr>
      </w:pPr>
    </w:p>
    <w:sectPr w:rsidR="0061383B" w:rsidRPr="0061383B" w:rsidSect="000037C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C1151" w14:textId="77777777" w:rsidR="00311EAC" w:rsidRDefault="00311EAC">
      <w:r>
        <w:separator/>
      </w:r>
    </w:p>
  </w:endnote>
  <w:endnote w:type="continuationSeparator" w:id="0">
    <w:p w14:paraId="26EBBC9E" w14:textId="77777777" w:rsidR="00311EAC" w:rsidRDefault="00311EAC">
      <w:r>
        <w:continuationSeparator/>
      </w:r>
    </w:p>
  </w:endnote>
  <w:endnote w:type="continuationNotice" w:id="1">
    <w:p w14:paraId="3DACBAD6" w14:textId="77777777" w:rsidR="00311EAC" w:rsidRDefault="0031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OpenSans">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311EAC" w:rsidRDefault="00311EA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311EAC" w:rsidRDefault="0031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7F5C" w14:textId="120980A3" w:rsidR="00311EAC" w:rsidRDefault="000037CF">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9A2B9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A2B9A">
      <w:rPr>
        <w:b/>
        <w:bCs/>
        <w:noProof/>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D379" w14:textId="77777777" w:rsidR="00311EAC" w:rsidRDefault="00311EAC">
      <w:r>
        <w:separator/>
      </w:r>
    </w:p>
  </w:footnote>
  <w:footnote w:type="continuationSeparator" w:id="0">
    <w:p w14:paraId="1795D2F0" w14:textId="77777777" w:rsidR="00311EAC" w:rsidRDefault="00311EAC">
      <w:r>
        <w:continuationSeparator/>
      </w:r>
    </w:p>
  </w:footnote>
  <w:footnote w:type="continuationNotice" w:id="1">
    <w:p w14:paraId="04880640" w14:textId="77777777" w:rsidR="00311EAC" w:rsidRDefault="00311EAC"/>
  </w:footnote>
  <w:footnote w:id="2">
    <w:p w14:paraId="0DBACFE1" w14:textId="738B692F" w:rsidR="00311EAC" w:rsidRPr="00E2284F" w:rsidRDefault="00311EAC">
      <w:pPr>
        <w:pStyle w:val="FootnoteText"/>
        <w:rPr>
          <w:lang w:val="en-AU"/>
        </w:rPr>
      </w:pPr>
      <w:r>
        <w:rPr>
          <w:rStyle w:val="FootnoteReference"/>
        </w:rPr>
        <w:footnoteRef/>
      </w:r>
      <w:r>
        <w:t xml:space="preserve"> </w:t>
      </w:r>
      <w:r>
        <w:rPr>
          <w:lang w:val="en-AU"/>
        </w:rPr>
        <w:t>The applicant also refers to this enzyme as ‘Lipase 3’ throughout their dossier.</w:t>
      </w:r>
    </w:p>
  </w:footnote>
  <w:footnote w:id="3">
    <w:p w14:paraId="078B15B5" w14:textId="77777777" w:rsidR="00311EAC" w:rsidRPr="002F041E" w:rsidRDefault="00311EAC" w:rsidP="0061383B">
      <w:pPr>
        <w:pStyle w:val="FootnoteText"/>
        <w:rPr>
          <w:lang w:val="en-AU"/>
        </w:rPr>
      </w:pPr>
      <w:r>
        <w:rPr>
          <w:rStyle w:val="FootnoteReference"/>
        </w:rPr>
        <w:footnoteRef/>
      </w:r>
      <w:r>
        <w:t xml:space="preserve"> </w:t>
      </w:r>
      <w:r w:rsidRPr="0084108A">
        <w:t>International Union of Biochemistry and Molecular Biology</w:t>
      </w:r>
      <w:r>
        <w:t>.</w:t>
      </w:r>
    </w:p>
  </w:footnote>
  <w:footnote w:id="4">
    <w:p w14:paraId="7DCC804A" w14:textId="77777777" w:rsidR="00311EAC" w:rsidRPr="002F041E" w:rsidRDefault="00311EAC" w:rsidP="0061383B">
      <w:pPr>
        <w:pStyle w:val="FootnoteText"/>
        <w:rPr>
          <w:lang w:val="en-AU"/>
        </w:rPr>
      </w:pPr>
      <w:r>
        <w:rPr>
          <w:rStyle w:val="FootnoteReference"/>
        </w:rPr>
        <w:footnoteRef/>
      </w:r>
      <w:r>
        <w:t xml:space="preserve"> </w:t>
      </w:r>
      <w:r>
        <w:rPr>
          <w:lang w:val="en-AU"/>
        </w:rPr>
        <w:t>Chemical Abstracts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311EAC" w:rsidRDefault="00311EA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0"/>
  </w:num>
  <w:num w:numId="6">
    <w:abstractNumId w:val="7"/>
  </w:num>
  <w:num w:numId="7">
    <w:abstractNumId w:val="2"/>
  </w:num>
  <w:num w:numId="8">
    <w:abstractNumId w:val="5"/>
  </w:num>
  <w:num w:numId="9">
    <w:abstractNumId w:val="11"/>
  </w:num>
  <w:num w:numId="10">
    <w:abstractNumId w:val="6"/>
  </w:num>
  <w:num w:numId="11">
    <w:abstractNumId w:val="3"/>
  </w:num>
  <w:num w:numId="12">
    <w:abstractNumId w:val="9"/>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7CF"/>
    <w:rsid w:val="0000469B"/>
    <w:rsid w:val="00010140"/>
    <w:rsid w:val="00011015"/>
    <w:rsid w:val="0001212D"/>
    <w:rsid w:val="000132F0"/>
    <w:rsid w:val="00013C80"/>
    <w:rsid w:val="000161C0"/>
    <w:rsid w:val="00023867"/>
    <w:rsid w:val="000238E4"/>
    <w:rsid w:val="000263F6"/>
    <w:rsid w:val="00032967"/>
    <w:rsid w:val="00034296"/>
    <w:rsid w:val="00035FF3"/>
    <w:rsid w:val="00040779"/>
    <w:rsid w:val="000448CC"/>
    <w:rsid w:val="000450C4"/>
    <w:rsid w:val="00047F60"/>
    <w:rsid w:val="00050A2F"/>
    <w:rsid w:val="00051021"/>
    <w:rsid w:val="00051ED9"/>
    <w:rsid w:val="000544D6"/>
    <w:rsid w:val="00054E1D"/>
    <w:rsid w:val="000560D8"/>
    <w:rsid w:val="00057181"/>
    <w:rsid w:val="00062989"/>
    <w:rsid w:val="0006473A"/>
    <w:rsid w:val="00064B2D"/>
    <w:rsid w:val="00065F1F"/>
    <w:rsid w:val="00067084"/>
    <w:rsid w:val="00076058"/>
    <w:rsid w:val="00076D33"/>
    <w:rsid w:val="00081E0D"/>
    <w:rsid w:val="00085326"/>
    <w:rsid w:val="00087EFA"/>
    <w:rsid w:val="00092CDA"/>
    <w:rsid w:val="000932F7"/>
    <w:rsid w:val="00093855"/>
    <w:rsid w:val="00094B9D"/>
    <w:rsid w:val="00095A54"/>
    <w:rsid w:val="00095BFD"/>
    <w:rsid w:val="000A14E9"/>
    <w:rsid w:val="000A27E9"/>
    <w:rsid w:val="000A3D8B"/>
    <w:rsid w:val="000A3FCD"/>
    <w:rsid w:val="000A5DF8"/>
    <w:rsid w:val="000A62C3"/>
    <w:rsid w:val="000A77E3"/>
    <w:rsid w:val="000B5751"/>
    <w:rsid w:val="000B594B"/>
    <w:rsid w:val="000B6033"/>
    <w:rsid w:val="000B6AF2"/>
    <w:rsid w:val="000B7D48"/>
    <w:rsid w:val="000C012C"/>
    <w:rsid w:val="000C4E5F"/>
    <w:rsid w:val="000C61EB"/>
    <w:rsid w:val="000D20F1"/>
    <w:rsid w:val="000D21FF"/>
    <w:rsid w:val="000D244C"/>
    <w:rsid w:val="000D411F"/>
    <w:rsid w:val="000D6FD4"/>
    <w:rsid w:val="000E0AE4"/>
    <w:rsid w:val="000E13CE"/>
    <w:rsid w:val="000E3DBC"/>
    <w:rsid w:val="000E4EBA"/>
    <w:rsid w:val="000E58E7"/>
    <w:rsid w:val="000F3894"/>
    <w:rsid w:val="000F486C"/>
    <w:rsid w:val="000F4DD8"/>
    <w:rsid w:val="000F660B"/>
    <w:rsid w:val="000F7703"/>
    <w:rsid w:val="00102AFE"/>
    <w:rsid w:val="00113C05"/>
    <w:rsid w:val="00113CE3"/>
    <w:rsid w:val="001142BF"/>
    <w:rsid w:val="00117522"/>
    <w:rsid w:val="00122F6D"/>
    <w:rsid w:val="00125694"/>
    <w:rsid w:val="001261C2"/>
    <w:rsid w:val="001300E8"/>
    <w:rsid w:val="00135005"/>
    <w:rsid w:val="001516A3"/>
    <w:rsid w:val="00151B6F"/>
    <w:rsid w:val="001542D8"/>
    <w:rsid w:val="001567D7"/>
    <w:rsid w:val="0016333D"/>
    <w:rsid w:val="00167F19"/>
    <w:rsid w:val="00172D73"/>
    <w:rsid w:val="00175B05"/>
    <w:rsid w:val="00180C41"/>
    <w:rsid w:val="00182C4C"/>
    <w:rsid w:val="00194F94"/>
    <w:rsid w:val="00197D8D"/>
    <w:rsid w:val="001A1A75"/>
    <w:rsid w:val="001A46F8"/>
    <w:rsid w:val="001A592B"/>
    <w:rsid w:val="001A7E9A"/>
    <w:rsid w:val="001B34DA"/>
    <w:rsid w:val="001B4786"/>
    <w:rsid w:val="001C27A3"/>
    <w:rsid w:val="001C3CD3"/>
    <w:rsid w:val="001C5295"/>
    <w:rsid w:val="001D22D2"/>
    <w:rsid w:val="001E09FA"/>
    <w:rsid w:val="001E604D"/>
    <w:rsid w:val="001E6A7B"/>
    <w:rsid w:val="001F2503"/>
    <w:rsid w:val="001F27FD"/>
    <w:rsid w:val="001F3D7E"/>
    <w:rsid w:val="001F74B6"/>
    <w:rsid w:val="00203540"/>
    <w:rsid w:val="0020615A"/>
    <w:rsid w:val="00206E14"/>
    <w:rsid w:val="0021612B"/>
    <w:rsid w:val="0022083A"/>
    <w:rsid w:val="00221D07"/>
    <w:rsid w:val="00225911"/>
    <w:rsid w:val="00227E4A"/>
    <w:rsid w:val="00233736"/>
    <w:rsid w:val="00234C34"/>
    <w:rsid w:val="0024582E"/>
    <w:rsid w:val="00245C56"/>
    <w:rsid w:val="00250082"/>
    <w:rsid w:val="00251686"/>
    <w:rsid w:val="002519C8"/>
    <w:rsid w:val="002541AD"/>
    <w:rsid w:val="002547EF"/>
    <w:rsid w:val="00256D65"/>
    <w:rsid w:val="00265D02"/>
    <w:rsid w:val="002704F0"/>
    <w:rsid w:val="00271F00"/>
    <w:rsid w:val="002724AD"/>
    <w:rsid w:val="0027362E"/>
    <w:rsid w:val="00273A80"/>
    <w:rsid w:val="002811F4"/>
    <w:rsid w:val="00281856"/>
    <w:rsid w:val="002836C0"/>
    <w:rsid w:val="002838AA"/>
    <w:rsid w:val="002838C2"/>
    <w:rsid w:val="00284789"/>
    <w:rsid w:val="00285CF5"/>
    <w:rsid w:val="00287CCB"/>
    <w:rsid w:val="0029204E"/>
    <w:rsid w:val="002942C5"/>
    <w:rsid w:val="0029631C"/>
    <w:rsid w:val="00296841"/>
    <w:rsid w:val="002A0194"/>
    <w:rsid w:val="002A3314"/>
    <w:rsid w:val="002A5BBD"/>
    <w:rsid w:val="002A5F8B"/>
    <w:rsid w:val="002A6E19"/>
    <w:rsid w:val="002A77F4"/>
    <w:rsid w:val="002A7F6C"/>
    <w:rsid w:val="002B0241"/>
    <w:rsid w:val="002B14BA"/>
    <w:rsid w:val="002B403C"/>
    <w:rsid w:val="002B5037"/>
    <w:rsid w:val="002B5881"/>
    <w:rsid w:val="002B59CF"/>
    <w:rsid w:val="002B7C67"/>
    <w:rsid w:val="002C110C"/>
    <w:rsid w:val="002D0994"/>
    <w:rsid w:val="002D531B"/>
    <w:rsid w:val="002D6809"/>
    <w:rsid w:val="002E04C1"/>
    <w:rsid w:val="002E61DF"/>
    <w:rsid w:val="002E6AC7"/>
    <w:rsid w:val="002E740B"/>
    <w:rsid w:val="002E7E02"/>
    <w:rsid w:val="002F27B6"/>
    <w:rsid w:val="002F2A2D"/>
    <w:rsid w:val="002F470D"/>
    <w:rsid w:val="002F54D8"/>
    <w:rsid w:val="002F6488"/>
    <w:rsid w:val="00302F66"/>
    <w:rsid w:val="0030596D"/>
    <w:rsid w:val="00311EAC"/>
    <w:rsid w:val="0031203C"/>
    <w:rsid w:val="00314167"/>
    <w:rsid w:val="00314604"/>
    <w:rsid w:val="00320839"/>
    <w:rsid w:val="003213F9"/>
    <w:rsid w:val="003235C3"/>
    <w:rsid w:val="00323DBF"/>
    <w:rsid w:val="00326D85"/>
    <w:rsid w:val="00330182"/>
    <w:rsid w:val="003304EA"/>
    <w:rsid w:val="003309A8"/>
    <w:rsid w:val="00332B12"/>
    <w:rsid w:val="003370AE"/>
    <w:rsid w:val="00340EB7"/>
    <w:rsid w:val="00341494"/>
    <w:rsid w:val="00342CE1"/>
    <w:rsid w:val="0035149D"/>
    <w:rsid w:val="00351B07"/>
    <w:rsid w:val="00351D50"/>
    <w:rsid w:val="00352CF2"/>
    <w:rsid w:val="00360987"/>
    <w:rsid w:val="00361F92"/>
    <w:rsid w:val="0036316F"/>
    <w:rsid w:val="00364841"/>
    <w:rsid w:val="0037063D"/>
    <w:rsid w:val="00371B29"/>
    <w:rsid w:val="0037210D"/>
    <w:rsid w:val="00372638"/>
    <w:rsid w:val="00375EFC"/>
    <w:rsid w:val="0037656B"/>
    <w:rsid w:val="00385E10"/>
    <w:rsid w:val="00385EFD"/>
    <w:rsid w:val="00391769"/>
    <w:rsid w:val="003953E1"/>
    <w:rsid w:val="003956B3"/>
    <w:rsid w:val="00396B8D"/>
    <w:rsid w:val="003A2BB7"/>
    <w:rsid w:val="003A68BE"/>
    <w:rsid w:val="003B0861"/>
    <w:rsid w:val="003B0E17"/>
    <w:rsid w:val="003B1805"/>
    <w:rsid w:val="003B1F0D"/>
    <w:rsid w:val="003B2C60"/>
    <w:rsid w:val="003B3C9D"/>
    <w:rsid w:val="003B78E0"/>
    <w:rsid w:val="003C1F1D"/>
    <w:rsid w:val="003C4969"/>
    <w:rsid w:val="003D01D4"/>
    <w:rsid w:val="003D244F"/>
    <w:rsid w:val="003D66E6"/>
    <w:rsid w:val="003E190C"/>
    <w:rsid w:val="003E264A"/>
    <w:rsid w:val="003E41D5"/>
    <w:rsid w:val="003E4482"/>
    <w:rsid w:val="003E46BA"/>
    <w:rsid w:val="003E57B5"/>
    <w:rsid w:val="003E7D22"/>
    <w:rsid w:val="003F2090"/>
    <w:rsid w:val="003F74C1"/>
    <w:rsid w:val="00405B1A"/>
    <w:rsid w:val="00410C76"/>
    <w:rsid w:val="00411907"/>
    <w:rsid w:val="004138E9"/>
    <w:rsid w:val="00413CA8"/>
    <w:rsid w:val="00413F41"/>
    <w:rsid w:val="00417CF0"/>
    <w:rsid w:val="00417EE3"/>
    <w:rsid w:val="004207EB"/>
    <w:rsid w:val="004269C1"/>
    <w:rsid w:val="00427AD9"/>
    <w:rsid w:val="00432557"/>
    <w:rsid w:val="00435466"/>
    <w:rsid w:val="00436912"/>
    <w:rsid w:val="00437276"/>
    <w:rsid w:val="004443A1"/>
    <w:rsid w:val="00446F48"/>
    <w:rsid w:val="00447871"/>
    <w:rsid w:val="00451BFF"/>
    <w:rsid w:val="00456B54"/>
    <w:rsid w:val="004615DD"/>
    <w:rsid w:val="0046419D"/>
    <w:rsid w:val="00464643"/>
    <w:rsid w:val="00467F4D"/>
    <w:rsid w:val="00471BAE"/>
    <w:rsid w:val="0047616E"/>
    <w:rsid w:val="00477B55"/>
    <w:rsid w:val="00486793"/>
    <w:rsid w:val="00496304"/>
    <w:rsid w:val="00497278"/>
    <w:rsid w:val="004A2037"/>
    <w:rsid w:val="004A44F1"/>
    <w:rsid w:val="004A78AE"/>
    <w:rsid w:val="004B35A6"/>
    <w:rsid w:val="004B46DB"/>
    <w:rsid w:val="004B63D9"/>
    <w:rsid w:val="004B78E5"/>
    <w:rsid w:val="004C06B5"/>
    <w:rsid w:val="004C2CE7"/>
    <w:rsid w:val="004C4CCD"/>
    <w:rsid w:val="004C644D"/>
    <w:rsid w:val="004C7E3F"/>
    <w:rsid w:val="004E329A"/>
    <w:rsid w:val="004E3C9B"/>
    <w:rsid w:val="004E3D17"/>
    <w:rsid w:val="004E4151"/>
    <w:rsid w:val="004E4A8C"/>
    <w:rsid w:val="004E730E"/>
    <w:rsid w:val="004F2192"/>
    <w:rsid w:val="004F45FE"/>
    <w:rsid w:val="004F4F98"/>
    <w:rsid w:val="004F508D"/>
    <w:rsid w:val="004F69F6"/>
    <w:rsid w:val="004F79AC"/>
    <w:rsid w:val="005017CF"/>
    <w:rsid w:val="005017FA"/>
    <w:rsid w:val="00501FBF"/>
    <w:rsid w:val="005058EC"/>
    <w:rsid w:val="00505AC5"/>
    <w:rsid w:val="005071E5"/>
    <w:rsid w:val="005147D8"/>
    <w:rsid w:val="0051795B"/>
    <w:rsid w:val="005207D8"/>
    <w:rsid w:val="005326D5"/>
    <w:rsid w:val="005345AA"/>
    <w:rsid w:val="0053464E"/>
    <w:rsid w:val="00537C7B"/>
    <w:rsid w:val="0054272D"/>
    <w:rsid w:val="00546C29"/>
    <w:rsid w:val="0054759D"/>
    <w:rsid w:val="00547C95"/>
    <w:rsid w:val="00550E3D"/>
    <w:rsid w:val="00551114"/>
    <w:rsid w:val="00555EA1"/>
    <w:rsid w:val="00562917"/>
    <w:rsid w:val="00562FEA"/>
    <w:rsid w:val="005651BD"/>
    <w:rsid w:val="00570979"/>
    <w:rsid w:val="0057615C"/>
    <w:rsid w:val="00577FE1"/>
    <w:rsid w:val="00583FC3"/>
    <w:rsid w:val="00585B00"/>
    <w:rsid w:val="00586228"/>
    <w:rsid w:val="00587C5F"/>
    <w:rsid w:val="005A0A26"/>
    <w:rsid w:val="005A1D97"/>
    <w:rsid w:val="005A58F3"/>
    <w:rsid w:val="005B2186"/>
    <w:rsid w:val="005B2215"/>
    <w:rsid w:val="005B2BB4"/>
    <w:rsid w:val="005B6AF4"/>
    <w:rsid w:val="005B7A73"/>
    <w:rsid w:val="005C04CB"/>
    <w:rsid w:val="005C552F"/>
    <w:rsid w:val="005D16AD"/>
    <w:rsid w:val="005D1C86"/>
    <w:rsid w:val="005D63C8"/>
    <w:rsid w:val="005D72E1"/>
    <w:rsid w:val="005E150C"/>
    <w:rsid w:val="005E1FE2"/>
    <w:rsid w:val="005E2C43"/>
    <w:rsid w:val="005E3364"/>
    <w:rsid w:val="005E44EC"/>
    <w:rsid w:val="005E6E16"/>
    <w:rsid w:val="005E6E71"/>
    <w:rsid w:val="005F0223"/>
    <w:rsid w:val="005F022B"/>
    <w:rsid w:val="005F034D"/>
    <w:rsid w:val="005F0D5E"/>
    <w:rsid w:val="005F400E"/>
    <w:rsid w:val="005F5C7D"/>
    <w:rsid w:val="005F7342"/>
    <w:rsid w:val="00600A07"/>
    <w:rsid w:val="00603A08"/>
    <w:rsid w:val="00610120"/>
    <w:rsid w:val="00610A3C"/>
    <w:rsid w:val="0061383B"/>
    <w:rsid w:val="00615612"/>
    <w:rsid w:val="00616597"/>
    <w:rsid w:val="006176FC"/>
    <w:rsid w:val="006229E5"/>
    <w:rsid w:val="00627F48"/>
    <w:rsid w:val="00630C23"/>
    <w:rsid w:val="006359E9"/>
    <w:rsid w:val="00640C6C"/>
    <w:rsid w:val="00640C77"/>
    <w:rsid w:val="00642DBD"/>
    <w:rsid w:val="00643AB9"/>
    <w:rsid w:val="00644504"/>
    <w:rsid w:val="00644764"/>
    <w:rsid w:val="00645D91"/>
    <w:rsid w:val="006460AB"/>
    <w:rsid w:val="00656CF6"/>
    <w:rsid w:val="0065740D"/>
    <w:rsid w:val="00657D86"/>
    <w:rsid w:val="00662E7B"/>
    <w:rsid w:val="006638A5"/>
    <w:rsid w:val="00663FCF"/>
    <w:rsid w:val="006652A2"/>
    <w:rsid w:val="006818F2"/>
    <w:rsid w:val="006839A3"/>
    <w:rsid w:val="00690206"/>
    <w:rsid w:val="00691270"/>
    <w:rsid w:val="0069360D"/>
    <w:rsid w:val="006937FF"/>
    <w:rsid w:val="00693870"/>
    <w:rsid w:val="006A132A"/>
    <w:rsid w:val="006A2E22"/>
    <w:rsid w:val="006A3AC0"/>
    <w:rsid w:val="006A48A7"/>
    <w:rsid w:val="006B4BA1"/>
    <w:rsid w:val="006B5EBE"/>
    <w:rsid w:val="006C14C7"/>
    <w:rsid w:val="006C2320"/>
    <w:rsid w:val="006C25FE"/>
    <w:rsid w:val="006C5CF5"/>
    <w:rsid w:val="006D011E"/>
    <w:rsid w:val="006D344A"/>
    <w:rsid w:val="006F4A82"/>
    <w:rsid w:val="006F60FD"/>
    <w:rsid w:val="0070373B"/>
    <w:rsid w:val="00704D7B"/>
    <w:rsid w:val="007100EB"/>
    <w:rsid w:val="0071305C"/>
    <w:rsid w:val="00715359"/>
    <w:rsid w:val="007159D8"/>
    <w:rsid w:val="007167BE"/>
    <w:rsid w:val="00720214"/>
    <w:rsid w:val="00720351"/>
    <w:rsid w:val="00720D91"/>
    <w:rsid w:val="0072301D"/>
    <w:rsid w:val="00724FA4"/>
    <w:rsid w:val="007259A1"/>
    <w:rsid w:val="00727F46"/>
    <w:rsid w:val="00730008"/>
    <w:rsid w:val="00730024"/>
    <w:rsid w:val="00730800"/>
    <w:rsid w:val="00734359"/>
    <w:rsid w:val="00735937"/>
    <w:rsid w:val="0073651F"/>
    <w:rsid w:val="00736AF4"/>
    <w:rsid w:val="0074388F"/>
    <w:rsid w:val="00745856"/>
    <w:rsid w:val="007461C5"/>
    <w:rsid w:val="007514AA"/>
    <w:rsid w:val="00751F82"/>
    <w:rsid w:val="00752EB4"/>
    <w:rsid w:val="007602AA"/>
    <w:rsid w:val="00764218"/>
    <w:rsid w:val="007652EF"/>
    <w:rsid w:val="00765562"/>
    <w:rsid w:val="00772BDC"/>
    <w:rsid w:val="00774F02"/>
    <w:rsid w:val="00776417"/>
    <w:rsid w:val="00777538"/>
    <w:rsid w:val="00780792"/>
    <w:rsid w:val="007846A2"/>
    <w:rsid w:val="00785A18"/>
    <w:rsid w:val="00796562"/>
    <w:rsid w:val="007A04CF"/>
    <w:rsid w:val="007A37EC"/>
    <w:rsid w:val="007A39E8"/>
    <w:rsid w:val="007A44B4"/>
    <w:rsid w:val="007A7D3D"/>
    <w:rsid w:val="007B225D"/>
    <w:rsid w:val="007B3078"/>
    <w:rsid w:val="007B4D09"/>
    <w:rsid w:val="007C174F"/>
    <w:rsid w:val="007C1C64"/>
    <w:rsid w:val="007C58B8"/>
    <w:rsid w:val="007C7FB1"/>
    <w:rsid w:val="007D03EA"/>
    <w:rsid w:val="007D0ADE"/>
    <w:rsid w:val="007D345F"/>
    <w:rsid w:val="007D3FDB"/>
    <w:rsid w:val="007D6A40"/>
    <w:rsid w:val="007E03AB"/>
    <w:rsid w:val="007E48BC"/>
    <w:rsid w:val="007E6F98"/>
    <w:rsid w:val="007E79F7"/>
    <w:rsid w:val="007F3630"/>
    <w:rsid w:val="007F7281"/>
    <w:rsid w:val="007F7C04"/>
    <w:rsid w:val="00800F5D"/>
    <w:rsid w:val="00801206"/>
    <w:rsid w:val="00801784"/>
    <w:rsid w:val="00802EE2"/>
    <w:rsid w:val="00803693"/>
    <w:rsid w:val="00807559"/>
    <w:rsid w:val="0081338B"/>
    <w:rsid w:val="008250F0"/>
    <w:rsid w:val="00830A7C"/>
    <w:rsid w:val="008342CD"/>
    <w:rsid w:val="00837263"/>
    <w:rsid w:val="00840186"/>
    <w:rsid w:val="008450BC"/>
    <w:rsid w:val="00852697"/>
    <w:rsid w:val="0085334B"/>
    <w:rsid w:val="0085335B"/>
    <w:rsid w:val="008648F7"/>
    <w:rsid w:val="008651BF"/>
    <w:rsid w:val="0086636B"/>
    <w:rsid w:val="00866615"/>
    <w:rsid w:val="00866E27"/>
    <w:rsid w:val="00870214"/>
    <w:rsid w:val="00870E2E"/>
    <w:rsid w:val="0087114F"/>
    <w:rsid w:val="00872C63"/>
    <w:rsid w:val="00882FF2"/>
    <w:rsid w:val="00885C51"/>
    <w:rsid w:val="00885EB0"/>
    <w:rsid w:val="00886CEF"/>
    <w:rsid w:val="00887AC3"/>
    <w:rsid w:val="00891F4B"/>
    <w:rsid w:val="0089264A"/>
    <w:rsid w:val="008945DC"/>
    <w:rsid w:val="00896B85"/>
    <w:rsid w:val="008A22BE"/>
    <w:rsid w:val="008A42CF"/>
    <w:rsid w:val="008A46D5"/>
    <w:rsid w:val="008A76B5"/>
    <w:rsid w:val="008B2D8A"/>
    <w:rsid w:val="008B3962"/>
    <w:rsid w:val="008B4596"/>
    <w:rsid w:val="008C1B36"/>
    <w:rsid w:val="008C7B55"/>
    <w:rsid w:val="008D0084"/>
    <w:rsid w:val="008D06C6"/>
    <w:rsid w:val="008E1765"/>
    <w:rsid w:val="008E6250"/>
    <w:rsid w:val="008F0779"/>
    <w:rsid w:val="008F4E5D"/>
    <w:rsid w:val="008F791C"/>
    <w:rsid w:val="00902AF6"/>
    <w:rsid w:val="0090347F"/>
    <w:rsid w:val="00903B68"/>
    <w:rsid w:val="00903ED1"/>
    <w:rsid w:val="009125DA"/>
    <w:rsid w:val="00912847"/>
    <w:rsid w:val="00912AD0"/>
    <w:rsid w:val="00920249"/>
    <w:rsid w:val="00923B2F"/>
    <w:rsid w:val="00924C80"/>
    <w:rsid w:val="00926CD5"/>
    <w:rsid w:val="00932F14"/>
    <w:rsid w:val="00934091"/>
    <w:rsid w:val="00937651"/>
    <w:rsid w:val="00940A7C"/>
    <w:rsid w:val="0094247F"/>
    <w:rsid w:val="00942D60"/>
    <w:rsid w:val="00943001"/>
    <w:rsid w:val="00944F9B"/>
    <w:rsid w:val="00947B67"/>
    <w:rsid w:val="009503E1"/>
    <w:rsid w:val="00950DFC"/>
    <w:rsid w:val="00953BF3"/>
    <w:rsid w:val="00955094"/>
    <w:rsid w:val="00960982"/>
    <w:rsid w:val="0096523B"/>
    <w:rsid w:val="0096551D"/>
    <w:rsid w:val="00966EE3"/>
    <w:rsid w:val="00970CFA"/>
    <w:rsid w:val="00972D06"/>
    <w:rsid w:val="00975085"/>
    <w:rsid w:val="0097547C"/>
    <w:rsid w:val="00976B59"/>
    <w:rsid w:val="009823B2"/>
    <w:rsid w:val="0098487D"/>
    <w:rsid w:val="0098537B"/>
    <w:rsid w:val="00985DD0"/>
    <w:rsid w:val="00987CC1"/>
    <w:rsid w:val="00987E59"/>
    <w:rsid w:val="00993E2D"/>
    <w:rsid w:val="00997E93"/>
    <w:rsid w:val="009A2B9A"/>
    <w:rsid w:val="009A391C"/>
    <w:rsid w:val="009A50F2"/>
    <w:rsid w:val="009A686A"/>
    <w:rsid w:val="009A6EB7"/>
    <w:rsid w:val="009B229A"/>
    <w:rsid w:val="009C28C8"/>
    <w:rsid w:val="009C2F65"/>
    <w:rsid w:val="009C5D04"/>
    <w:rsid w:val="009C7293"/>
    <w:rsid w:val="009D15CF"/>
    <w:rsid w:val="009D1F6E"/>
    <w:rsid w:val="009D38AA"/>
    <w:rsid w:val="009E0576"/>
    <w:rsid w:val="009E0A61"/>
    <w:rsid w:val="009E1397"/>
    <w:rsid w:val="009E3010"/>
    <w:rsid w:val="009E66C8"/>
    <w:rsid w:val="009E698A"/>
    <w:rsid w:val="009F007E"/>
    <w:rsid w:val="009F05E5"/>
    <w:rsid w:val="009F1176"/>
    <w:rsid w:val="009F288E"/>
    <w:rsid w:val="009F3503"/>
    <w:rsid w:val="009F6A3D"/>
    <w:rsid w:val="009F7065"/>
    <w:rsid w:val="009F76B5"/>
    <w:rsid w:val="00A00435"/>
    <w:rsid w:val="00A01BD7"/>
    <w:rsid w:val="00A0538B"/>
    <w:rsid w:val="00A067E4"/>
    <w:rsid w:val="00A077AF"/>
    <w:rsid w:val="00A07CA9"/>
    <w:rsid w:val="00A119E2"/>
    <w:rsid w:val="00A13029"/>
    <w:rsid w:val="00A130C2"/>
    <w:rsid w:val="00A13B82"/>
    <w:rsid w:val="00A13C55"/>
    <w:rsid w:val="00A151F1"/>
    <w:rsid w:val="00A152D1"/>
    <w:rsid w:val="00A26147"/>
    <w:rsid w:val="00A27918"/>
    <w:rsid w:val="00A27C01"/>
    <w:rsid w:val="00A30707"/>
    <w:rsid w:val="00A31438"/>
    <w:rsid w:val="00A316EA"/>
    <w:rsid w:val="00A35EC6"/>
    <w:rsid w:val="00A4175D"/>
    <w:rsid w:val="00A4525C"/>
    <w:rsid w:val="00A45A25"/>
    <w:rsid w:val="00A47DE4"/>
    <w:rsid w:val="00A5055F"/>
    <w:rsid w:val="00A54151"/>
    <w:rsid w:val="00A56DC7"/>
    <w:rsid w:val="00A57FB2"/>
    <w:rsid w:val="00A60AE1"/>
    <w:rsid w:val="00A63653"/>
    <w:rsid w:val="00A65174"/>
    <w:rsid w:val="00A74FD1"/>
    <w:rsid w:val="00A75124"/>
    <w:rsid w:val="00A77BFA"/>
    <w:rsid w:val="00A84A58"/>
    <w:rsid w:val="00A924F6"/>
    <w:rsid w:val="00AA19C3"/>
    <w:rsid w:val="00AA633F"/>
    <w:rsid w:val="00AA7751"/>
    <w:rsid w:val="00AA78CC"/>
    <w:rsid w:val="00AB47E7"/>
    <w:rsid w:val="00AB6DDA"/>
    <w:rsid w:val="00AC4E77"/>
    <w:rsid w:val="00AD1BD1"/>
    <w:rsid w:val="00AD21A3"/>
    <w:rsid w:val="00AD6D33"/>
    <w:rsid w:val="00AD6F84"/>
    <w:rsid w:val="00AF03E4"/>
    <w:rsid w:val="00AF0509"/>
    <w:rsid w:val="00AF06FC"/>
    <w:rsid w:val="00AF3391"/>
    <w:rsid w:val="00AF387F"/>
    <w:rsid w:val="00AF6C31"/>
    <w:rsid w:val="00AF723B"/>
    <w:rsid w:val="00B00E7F"/>
    <w:rsid w:val="00B06D4D"/>
    <w:rsid w:val="00B07110"/>
    <w:rsid w:val="00B102F1"/>
    <w:rsid w:val="00B12F1E"/>
    <w:rsid w:val="00B173DA"/>
    <w:rsid w:val="00B20BF0"/>
    <w:rsid w:val="00B21DCC"/>
    <w:rsid w:val="00B239CC"/>
    <w:rsid w:val="00B24266"/>
    <w:rsid w:val="00B25F37"/>
    <w:rsid w:val="00B30E51"/>
    <w:rsid w:val="00B33233"/>
    <w:rsid w:val="00B343B9"/>
    <w:rsid w:val="00B3442C"/>
    <w:rsid w:val="00B37BF0"/>
    <w:rsid w:val="00B4082C"/>
    <w:rsid w:val="00B44422"/>
    <w:rsid w:val="00B46EA0"/>
    <w:rsid w:val="00B47E60"/>
    <w:rsid w:val="00B60734"/>
    <w:rsid w:val="00B629D5"/>
    <w:rsid w:val="00B703B5"/>
    <w:rsid w:val="00B710CD"/>
    <w:rsid w:val="00B731D3"/>
    <w:rsid w:val="00B777F5"/>
    <w:rsid w:val="00B807AA"/>
    <w:rsid w:val="00B828B9"/>
    <w:rsid w:val="00B833B0"/>
    <w:rsid w:val="00B839A3"/>
    <w:rsid w:val="00B84BB0"/>
    <w:rsid w:val="00B87E23"/>
    <w:rsid w:val="00B902BD"/>
    <w:rsid w:val="00B90B14"/>
    <w:rsid w:val="00B90D8C"/>
    <w:rsid w:val="00B91C91"/>
    <w:rsid w:val="00B949F0"/>
    <w:rsid w:val="00B960BA"/>
    <w:rsid w:val="00BA24E2"/>
    <w:rsid w:val="00BB1D2F"/>
    <w:rsid w:val="00BB521D"/>
    <w:rsid w:val="00BC4A7E"/>
    <w:rsid w:val="00BC4B0D"/>
    <w:rsid w:val="00BD2A39"/>
    <w:rsid w:val="00BD2E80"/>
    <w:rsid w:val="00BD59CB"/>
    <w:rsid w:val="00BD7DC5"/>
    <w:rsid w:val="00BE11B8"/>
    <w:rsid w:val="00BE1FE0"/>
    <w:rsid w:val="00BF02F4"/>
    <w:rsid w:val="00BF56A2"/>
    <w:rsid w:val="00BF7FF0"/>
    <w:rsid w:val="00C057F4"/>
    <w:rsid w:val="00C0619F"/>
    <w:rsid w:val="00C06675"/>
    <w:rsid w:val="00C06EAA"/>
    <w:rsid w:val="00C076F6"/>
    <w:rsid w:val="00C12502"/>
    <w:rsid w:val="00C127BA"/>
    <w:rsid w:val="00C12D51"/>
    <w:rsid w:val="00C148F5"/>
    <w:rsid w:val="00C14F4F"/>
    <w:rsid w:val="00C15A6C"/>
    <w:rsid w:val="00C1733F"/>
    <w:rsid w:val="00C30CA1"/>
    <w:rsid w:val="00C36578"/>
    <w:rsid w:val="00C36FC0"/>
    <w:rsid w:val="00C37054"/>
    <w:rsid w:val="00C40AA5"/>
    <w:rsid w:val="00C46F70"/>
    <w:rsid w:val="00C476D0"/>
    <w:rsid w:val="00C47C7E"/>
    <w:rsid w:val="00C55104"/>
    <w:rsid w:val="00C61AC1"/>
    <w:rsid w:val="00C647F1"/>
    <w:rsid w:val="00C76D44"/>
    <w:rsid w:val="00C77BCF"/>
    <w:rsid w:val="00C77E24"/>
    <w:rsid w:val="00C8098F"/>
    <w:rsid w:val="00C8166A"/>
    <w:rsid w:val="00C836E3"/>
    <w:rsid w:val="00C86577"/>
    <w:rsid w:val="00C907FA"/>
    <w:rsid w:val="00C92E07"/>
    <w:rsid w:val="00C96868"/>
    <w:rsid w:val="00C96F33"/>
    <w:rsid w:val="00CA0416"/>
    <w:rsid w:val="00CA3849"/>
    <w:rsid w:val="00CA3967"/>
    <w:rsid w:val="00CA50E1"/>
    <w:rsid w:val="00CA641D"/>
    <w:rsid w:val="00CA7F4F"/>
    <w:rsid w:val="00CB386B"/>
    <w:rsid w:val="00CB4F25"/>
    <w:rsid w:val="00CC00DD"/>
    <w:rsid w:val="00CC560B"/>
    <w:rsid w:val="00CC75E2"/>
    <w:rsid w:val="00CD294B"/>
    <w:rsid w:val="00CD42E6"/>
    <w:rsid w:val="00CD46EB"/>
    <w:rsid w:val="00CD718F"/>
    <w:rsid w:val="00CD7EBF"/>
    <w:rsid w:val="00CE2E93"/>
    <w:rsid w:val="00CE3DFD"/>
    <w:rsid w:val="00CE7D5F"/>
    <w:rsid w:val="00CF1BE4"/>
    <w:rsid w:val="00CF1E6E"/>
    <w:rsid w:val="00CF5879"/>
    <w:rsid w:val="00CF702C"/>
    <w:rsid w:val="00D04C45"/>
    <w:rsid w:val="00D056F1"/>
    <w:rsid w:val="00D063C3"/>
    <w:rsid w:val="00D11171"/>
    <w:rsid w:val="00D1300C"/>
    <w:rsid w:val="00D14478"/>
    <w:rsid w:val="00D1572E"/>
    <w:rsid w:val="00D168FF"/>
    <w:rsid w:val="00D16BA9"/>
    <w:rsid w:val="00D214DD"/>
    <w:rsid w:val="00D22F3C"/>
    <w:rsid w:val="00D22F50"/>
    <w:rsid w:val="00D23DB6"/>
    <w:rsid w:val="00D23EEE"/>
    <w:rsid w:val="00D243C1"/>
    <w:rsid w:val="00D25759"/>
    <w:rsid w:val="00D27155"/>
    <w:rsid w:val="00D30047"/>
    <w:rsid w:val="00D30B66"/>
    <w:rsid w:val="00D30CE3"/>
    <w:rsid w:val="00D36531"/>
    <w:rsid w:val="00D4020F"/>
    <w:rsid w:val="00D410BF"/>
    <w:rsid w:val="00D42234"/>
    <w:rsid w:val="00D43F9D"/>
    <w:rsid w:val="00D43FE6"/>
    <w:rsid w:val="00D4456E"/>
    <w:rsid w:val="00D451D0"/>
    <w:rsid w:val="00D472A1"/>
    <w:rsid w:val="00D51A95"/>
    <w:rsid w:val="00D54C14"/>
    <w:rsid w:val="00D571E9"/>
    <w:rsid w:val="00D60568"/>
    <w:rsid w:val="00D626CA"/>
    <w:rsid w:val="00D64840"/>
    <w:rsid w:val="00D701CA"/>
    <w:rsid w:val="00D70C7A"/>
    <w:rsid w:val="00D728EC"/>
    <w:rsid w:val="00D7756D"/>
    <w:rsid w:val="00D81B3C"/>
    <w:rsid w:val="00D81D38"/>
    <w:rsid w:val="00D82516"/>
    <w:rsid w:val="00D83746"/>
    <w:rsid w:val="00D838D3"/>
    <w:rsid w:val="00D8467D"/>
    <w:rsid w:val="00D85DE9"/>
    <w:rsid w:val="00D934C6"/>
    <w:rsid w:val="00D957A0"/>
    <w:rsid w:val="00D9620E"/>
    <w:rsid w:val="00DA10A8"/>
    <w:rsid w:val="00DB1DE1"/>
    <w:rsid w:val="00DB1E08"/>
    <w:rsid w:val="00DB2973"/>
    <w:rsid w:val="00DB2A6C"/>
    <w:rsid w:val="00DC1B56"/>
    <w:rsid w:val="00DC2129"/>
    <w:rsid w:val="00DC38A5"/>
    <w:rsid w:val="00DC6570"/>
    <w:rsid w:val="00DC7731"/>
    <w:rsid w:val="00DD189E"/>
    <w:rsid w:val="00DD3790"/>
    <w:rsid w:val="00DD37FE"/>
    <w:rsid w:val="00DD3C5E"/>
    <w:rsid w:val="00DE2BCA"/>
    <w:rsid w:val="00DE3D91"/>
    <w:rsid w:val="00DE7C11"/>
    <w:rsid w:val="00DF25C3"/>
    <w:rsid w:val="00DF2F14"/>
    <w:rsid w:val="00DF47D6"/>
    <w:rsid w:val="00E00116"/>
    <w:rsid w:val="00E001A9"/>
    <w:rsid w:val="00E04062"/>
    <w:rsid w:val="00E063C6"/>
    <w:rsid w:val="00E066BA"/>
    <w:rsid w:val="00E13522"/>
    <w:rsid w:val="00E14658"/>
    <w:rsid w:val="00E17F9B"/>
    <w:rsid w:val="00E2003B"/>
    <w:rsid w:val="00E20218"/>
    <w:rsid w:val="00E203C2"/>
    <w:rsid w:val="00E2284F"/>
    <w:rsid w:val="00E26B29"/>
    <w:rsid w:val="00E2732B"/>
    <w:rsid w:val="00E279D8"/>
    <w:rsid w:val="00E307BD"/>
    <w:rsid w:val="00E30F13"/>
    <w:rsid w:val="00E319B1"/>
    <w:rsid w:val="00E41133"/>
    <w:rsid w:val="00E4237E"/>
    <w:rsid w:val="00E43F97"/>
    <w:rsid w:val="00E44E0D"/>
    <w:rsid w:val="00E47340"/>
    <w:rsid w:val="00E53A1F"/>
    <w:rsid w:val="00E5492F"/>
    <w:rsid w:val="00E61992"/>
    <w:rsid w:val="00E62208"/>
    <w:rsid w:val="00E62DEF"/>
    <w:rsid w:val="00E64B28"/>
    <w:rsid w:val="00E70A86"/>
    <w:rsid w:val="00E735B8"/>
    <w:rsid w:val="00E777EC"/>
    <w:rsid w:val="00E80FCD"/>
    <w:rsid w:val="00E84109"/>
    <w:rsid w:val="00E907B8"/>
    <w:rsid w:val="00E97B53"/>
    <w:rsid w:val="00EA1825"/>
    <w:rsid w:val="00EA3F0A"/>
    <w:rsid w:val="00EA710F"/>
    <w:rsid w:val="00EA7F2F"/>
    <w:rsid w:val="00EB429D"/>
    <w:rsid w:val="00EB5CF3"/>
    <w:rsid w:val="00EB639B"/>
    <w:rsid w:val="00EC00DE"/>
    <w:rsid w:val="00EC30E1"/>
    <w:rsid w:val="00EC4EC9"/>
    <w:rsid w:val="00ED172A"/>
    <w:rsid w:val="00ED37FC"/>
    <w:rsid w:val="00EF1CC2"/>
    <w:rsid w:val="00EF6D72"/>
    <w:rsid w:val="00EF7C98"/>
    <w:rsid w:val="00F053D3"/>
    <w:rsid w:val="00F077FF"/>
    <w:rsid w:val="00F11F6C"/>
    <w:rsid w:val="00F14BEC"/>
    <w:rsid w:val="00F14D3F"/>
    <w:rsid w:val="00F15456"/>
    <w:rsid w:val="00F16E53"/>
    <w:rsid w:val="00F17143"/>
    <w:rsid w:val="00F225C5"/>
    <w:rsid w:val="00F2587A"/>
    <w:rsid w:val="00F34404"/>
    <w:rsid w:val="00F3715D"/>
    <w:rsid w:val="00F420C8"/>
    <w:rsid w:val="00F424C2"/>
    <w:rsid w:val="00F42A4C"/>
    <w:rsid w:val="00F563C5"/>
    <w:rsid w:val="00F604DE"/>
    <w:rsid w:val="00F6614D"/>
    <w:rsid w:val="00F66942"/>
    <w:rsid w:val="00F72A16"/>
    <w:rsid w:val="00F80782"/>
    <w:rsid w:val="00F941AD"/>
    <w:rsid w:val="00FA118B"/>
    <w:rsid w:val="00FA2DEB"/>
    <w:rsid w:val="00FB07C2"/>
    <w:rsid w:val="00FB4357"/>
    <w:rsid w:val="00FB54AB"/>
    <w:rsid w:val="00FB7512"/>
    <w:rsid w:val="00FB769D"/>
    <w:rsid w:val="00FC7903"/>
    <w:rsid w:val="00FC7990"/>
    <w:rsid w:val="00FD7547"/>
    <w:rsid w:val="00FE2C25"/>
    <w:rsid w:val="00FE2C2A"/>
    <w:rsid w:val="00FE593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59CB"/>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59C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2DE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21D"/>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ogle.com.au/url?sa=i&amp;rct=j&amp;q=&amp;esrc=s&amp;source=images&amp;cd=&amp;cad=rja&amp;uact=8&amp;ved=2ahUKEwiUm4Kl2oneAhWIF4gKHa4xAxwQjRx6BAgBEAU&amp;url=https://www.perlara.com/blog/conservation-of-fat-storage-and-mobilization-in-drosophila/&amp;psig=AOvVaw3HALDGUqt4JmxNie5VPsO-&amp;ust=1539736099656385" TargetMode="External"/><Relationship Id="rId26" Type="http://schemas.openxmlformats.org/officeDocument/2006/relationships/hyperlink" Target="http://www.allergenonline.org/"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uniprot.org/" TargetMode="External"/><Relationship Id="rId29" Type="http://schemas.openxmlformats.org/officeDocument/2006/relationships/hyperlink" Target="https://doi.org/10.1073/pnas.0904936106" TargetMode="External"/><Relationship Id="rId16" Type="http://schemas.openxmlformats.org/officeDocument/2006/relationships/footer" Target="footer2.xml"/><Relationship Id="rId20" Type="http://schemas.openxmlformats.org/officeDocument/2006/relationships/diagramData" Target="diagrams/data1.xml"/><Relationship Id="rId24" Type="http://schemas.microsoft.com/office/2007/relationships/diagramDrawing" Target="diagrams/drawing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hyperlink" Target="https://doi.org/10.4155/bfs.10.1"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QuickStyle" Target="diagrams/quickStyle1.xml"/><Relationship Id="rId27" Type="http://schemas.openxmlformats.org/officeDocument/2006/relationships/hyperlink" Target="http://www.sbcs.qmul.ac.uk/iubmb/enzyme/EC3/1/1/3.html"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8874B-1901-4597-A592-A55F62C175FF}"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37AFDD02-FD50-41D3-8A8B-4045CBE2470A}">
      <dgm:prSet phldrT="[Text]" custT="1"/>
      <dgm:spPr/>
      <dgm:t>
        <a:bodyPr/>
        <a:lstStyle/>
        <a:p>
          <a:pPr algn="ctr"/>
          <a:r>
            <a:rPr lang="en-US" sz="1200" b="1" i="1"/>
            <a:t>Part 1: Fermentation</a:t>
          </a:r>
        </a:p>
      </dgm:t>
    </dgm:pt>
    <dgm:pt modelId="{372617D9-93DF-40A7-A4BC-165C34B7AB0C}" type="parTrans" cxnId="{EABA1435-240A-45B0-9594-0DFCB40FE533}">
      <dgm:prSet/>
      <dgm:spPr/>
      <dgm:t>
        <a:bodyPr/>
        <a:lstStyle/>
        <a:p>
          <a:pPr algn="ctr"/>
          <a:endParaRPr lang="en-US"/>
        </a:p>
      </dgm:t>
    </dgm:pt>
    <dgm:pt modelId="{3708981B-D6D0-405F-BED0-126EE29F9FBC}" type="sibTrans" cxnId="{EABA1435-240A-45B0-9594-0DFCB40FE533}">
      <dgm:prSet/>
      <dgm:spPr/>
      <dgm:t>
        <a:bodyPr/>
        <a:lstStyle/>
        <a:p>
          <a:pPr algn="ctr"/>
          <a:endParaRPr lang="en-US"/>
        </a:p>
      </dgm:t>
    </dgm:pt>
    <dgm:pt modelId="{BBD56BCB-15B0-4A75-BEDC-10CEA9EB75B6}">
      <dgm:prSet phldrT="[Text]"/>
      <dgm:spPr/>
      <dgm:t>
        <a:bodyPr/>
        <a:lstStyle/>
        <a:p>
          <a:pPr algn="ctr"/>
          <a:r>
            <a:rPr lang="en-US"/>
            <a:t>Concentration</a:t>
          </a:r>
        </a:p>
      </dgm:t>
    </dgm:pt>
    <dgm:pt modelId="{2AA308FF-0DD1-46C1-A9FD-3EF6EDD52F93}" type="parTrans" cxnId="{9EDF5719-F1A2-4E31-AC2A-D963715E45B5}">
      <dgm:prSet/>
      <dgm:spPr/>
      <dgm:t>
        <a:bodyPr/>
        <a:lstStyle/>
        <a:p>
          <a:pPr algn="ctr"/>
          <a:endParaRPr lang="en-US"/>
        </a:p>
      </dgm:t>
    </dgm:pt>
    <dgm:pt modelId="{EF1E943F-1A87-4C9C-B896-43E026130541}" type="sibTrans" cxnId="{9EDF5719-F1A2-4E31-AC2A-D963715E45B5}">
      <dgm:prSet/>
      <dgm:spPr/>
      <dgm:t>
        <a:bodyPr/>
        <a:lstStyle/>
        <a:p>
          <a:pPr algn="ctr"/>
          <a:endParaRPr lang="en-US"/>
        </a:p>
      </dgm:t>
    </dgm:pt>
    <dgm:pt modelId="{EEE9D1AD-3E43-4AE2-8D14-447514F919F0}">
      <dgm:prSet phldrT="[Text]" custT="1"/>
      <dgm:spPr/>
      <dgm:t>
        <a:bodyPr/>
        <a:lstStyle/>
        <a:p>
          <a:pPr algn="ctr"/>
          <a:r>
            <a:rPr lang="en-US" sz="1200" b="0" i="0"/>
            <a:t>Stabilisation and preservation</a:t>
          </a:r>
        </a:p>
      </dgm:t>
    </dgm:pt>
    <dgm:pt modelId="{A422414B-B5DE-4E71-9ACB-2457750F8EDB}" type="parTrans" cxnId="{F0F6F42C-4E9F-4510-A8CD-07E08975DE10}">
      <dgm:prSet/>
      <dgm:spPr/>
      <dgm:t>
        <a:bodyPr/>
        <a:lstStyle/>
        <a:p>
          <a:pPr algn="ctr"/>
          <a:endParaRPr lang="en-US"/>
        </a:p>
      </dgm:t>
    </dgm:pt>
    <dgm:pt modelId="{433F0AFA-AE75-4302-A9C7-DE783ED3A775}" type="sibTrans" cxnId="{F0F6F42C-4E9F-4510-A8CD-07E08975DE10}">
      <dgm:prSet/>
      <dgm:spPr/>
      <dgm:t>
        <a:bodyPr/>
        <a:lstStyle/>
        <a:p>
          <a:pPr algn="ctr"/>
          <a:endParaRPr lang="en-US"/>
        </a:p>
      </dgm:t>
    </dgm:pt>
    <dgm:pt modelId="{F4A20DFB-BD14-4976-BF1F-3E638D714CBA}">
      <dgm:prSet/>
      <dgm:spPr/>
      <dgm:t>
        <a:bodyPr/>
        <a:lstStyle/>
        <a:p>
          <a:pPr algn="ctr"/>
          <a:r>
            <a:rPr lang="en-US"/>
            <a:t>Inoculation</a:t>
          </a:r>
        </a:p>
      </dgm:t>
    </dgm:pt>
    <dgm:pt modelId="{6BED993B-FA06-403A-B2AF-F92F0A1B9694}" type="parTrans" cxnId="{D0A5912F-5CEC-4F8A-9956-317FCC5A8B40}">
      <dgm:prSet/>
      <dgm:spPr/>
      <dgm:t>
        <a:bodyPr/>
        <a:lstStyle/>
        <a:p>
          <a:pPr algn="ctr"/>
          <a:endParaRPr lang="en-US"/>
        </a:p>
      </dgm:t>
    </dgm:pt>
    <dgm:pt modelId="{113CA7C1-6591-492D-A00C-7F7A39100EB8}" type="sibTrans" cxnId="{D0A5912F-5CEC-4F8A-9956-317FCC5A8B40}">
      <dgm:prSet/>
      <dgm:spPr/>
      <dgm:t>
        <a:bodyPr/>
        <a:lstStyle/>
        <a:p>
          <a:pPr algn="ctr"/>
          <a:endParaRPr lang="en-US"/>
        </a:p>
      </dgm:t>
    </dgm:pt>
    <dgm:pt modelId="{259A558C-19B0-4BB8-92CA-6E318EEB5E67}">
      <dgm:prSet/>
      <dgm:spPr/>
      <dgm:t>
        <a:bodyPr/>
        <a:lstStyle/>
        <a:p>
          <a:pPr algn="ctr"/>
          <a:r>
            <a:rPr lang="en-US"/>
            <a:t>Seed fermentation</a:t>
          </a:r>
        </a:p>
      </dgm:t>
    </dgm:pt>
    <dgm:pt modelId="{71958C7E-E744-40E7-ABE0-8ED2E6F5209D}" type="parTrans" cxnId="{BF9332BD-B294-4C52-99B2-FF17DD369DDC}">
      <dgm:prSet/>
      <dgm:spPr/>
      <dgm:t>
        <a:bodyPr/>
        <a:lstStyle/>
        <a:p>
          <a:pPr algn="ctr"/>
          <a:endParaRPr lang="en-US"/>
        </a:p>
      </dgm:t>
    </dgm:pt>
    <dgm:pt modelId="{C170584A-5DFB-48FC-99B5-48BF314B2C47}" type="sibTrans" cxnId="{BF9332BD-B294-4C52-99B2-FF17DD369DDC}">
      <dgm:prSet/>
      <dgm:spPr/>
      <dgm:t>
        <a:bodyPr/>
        <a:lstStyle/>
        <a:p>
          <a:pPr algn="ctr"/>
          <a:endParaRPr lang="en-US"/>
        </a:p>
      </dgm:t>
    </dgm:pt>
    <dgm:pt modelId="{FE35EF82-1C16-4D50-8001-D61B7CC72945}">
      <dgm:prSet/>
      <dgm:spPr/>
      <dgm:t>
        <a:bodyPr/>
        <a:lstStyle/>
        <a:p>
          <a:pPr algn="ctr"/>
          <a:r>
            <a:rPr lang="en-US"/>
            <a:t>Pre-treatment</a:t>
          </a:r>
        </a:p>
      </dgm:t>
    </dgm:pt>
    <dgm:pt modelId="{E05AD591-0F5D-4B98-B11A-F7E73060D09C}" type="parTrans" cxnId="{4C286765-9EA1-463A-B946-BFCFDE535E6D}">
      <dgm:prSet/>
      <dgm:spPr/>
      <dgm:t>
        <a:bodyPr/>
        <a:lstStyle/>
        <a:p>
          <a:pPr algn="ctr"/>
          <a:endParaRPr lang="en-US"/>
        </a:p>
      </dgm:t>
    </dgm:pt>
    <dgm:pt modelId="{68DE40A2-F4D1-43DB-B4A1-18124EEC4DEB}" type="sibTrans" cxnId="{4C286765-9EA1-463A-B946-BFCFDE535E6D}">
      <dgm:prSet/>
      <dgm:spPr/>
      <dgm:t>
        <a:bodyPr/>
        <a:lstStyle/>
        <a:p>
          <a:pPr algn="ctr"/>
          <a:endParaRPr lang="en-US"/>
        </a:p>
      </dgm:t>
    </dgm:pt>
    <dgm:pt modelId="{378850F2-E665-4085-B257-B25B4981573F}">
      <dgm:prSet/>
      <dgm:spPr/>
      <dgm:t>
        <a:bodyPr/>
        <a:lstStyle/>
        <a:p>
          <a:pPr algn="ctr"/>
          <a:r>
            <a:rPr lang="en-US"/>
            <a:t>Primary separation</a:t>
          </a:r>
        </a:p>
      </dgm:t>
    </dgm:pt>
    <dgm:pt modelId="{3F45A0C7-0A4D-49CF-A507-630DDD8E5381}" type="parTrans" cxnId="{3776169B-C011-47CB-B38F-70DADE49349D}">
      <dgm:prSet/>
      <dgm:spPr/>
      <dgm:t>
        <a:bodyPr/>
        <a:lstStyle/>
        <a:p>
          <a:pPr algn="ctr"/>
          <a:endParaRPr lang="en-US"/>
        </a:p>
      </dgm:t>
    </dgm:pt>
    <dgm:pt modelId="{2047E5AF-EB3C-4541-BBEE-9DFE19B8526B}" type="sibTrans" cxnId="{3776169B-C011-47CB-B38F-70DADE49349D}">
      <dgm:prSet/>
      <dgm:spPr/>
      <dgm:t>
        <a:bodyPr/>
        <a:lstStyle/>
        <a:p>
          <a:pPr algn="ctr"/>
          <a:endParaRPr lang="en-US"/>
        </a:p>
      </dgm:t>
    </dgm:pt>
    <dgm:pt modelId="{C2E2E1BA-C234-42FD-8946-91E1BE3CF046}">
      <dgm:prSet/>
      <dgm:spPr/>
      <dgm:t>
        <a:bodyPr/>
        <a:lstStyle/>
        <a:p>
          <a:pPr algn="ctr"/>
          <a:r>
            <a:rPr lang="en-US"/>
            <a:t>Filtration</a:t>
          </a:r>
        </a:p>
      </dgm:t>
    </dgm:pt>
    <dgm:pt modelId="{0AEC5282-46DD-4136-9A83-2F37B89B2A6B}" type="parTrans" cxnId="{37A558C2-4300-4123-8CA1-E9BEB6CD7D3E}">
      <dgm:prSet/>
      <dgm:spPr/>
      <dgm:t>
        <a:bodyPr/>
        <a:lstStyle/>
        <a:p>
          <a:pPr algn="ctr"/>
          <a:endParaRPr lang="en-US"/>
        </a:p>
      </dgm:t>
    </dgm:pt>
    <dgm:pt modelId="{D9DE9B2C-02BC-4169-A59D-B6C5E0E7A5E5}" type="sibTrans" cxnId="{37A558C2-4300-4123-8CA1-E9BEB6CD7D3E}">
      <dgm:prSet/>
      <dgm:spPr/>
      <dgm:t>
        <a:bodyPr/>
        <a:lstStyle/>
        <a:p>
          <a:pPr algn="ctr"/>
          <a:endParaRPr lang="en-US"/>
        </a:p>
      </dgm:t>
    </dgm:pt>
    <dgm:pt modelId="{190F63B6-96C6-4412-A59A-6DD1023D9C0E}">
      <dgm:prSet custT="1"/>
      <dgm:spPr/>
      <dgm:t>
        <a:bodyPr/>
        <a:lstStyle/>
        <a:p>
          <a:pPr algn="ctr"/>
          <a:r>
            <a:rPr lang="en-US" sz="1200" b="1" i="1"/>
            <a:t>Part 2: Recovery</a:t>
          </a:r>
        </a:p>
      </dgm:t>
    </dgm:pt>
    <dgm:pt modelId="{5873874B-F244-443C-AE40-F32C99935CB1}" type="sibTrans" cxnId="{E3D69650-FCAE-4746-841A-6630B8812440}">
      <dgm:prSet/>
      <dgm:spPr/>
      <dgm:t>
        <a:bodyPr/>
        <a:lstStyle/>
        <a:p>
          <a:pPr algn="ctr"/>
          <a:endParaRPr lang="en-US"/>
        </a:p>
      </dgm:t>
    </dgm:pt>
    <dgm:pt modelId="{BFC47742-0B59-43F2-9C5A-954D7D9B9B01}" type="parTrans" cxnId="{E3D69650-FCAE-4746-841A-6630B8812440}">
      <dgm:prSet/>
      <dgm:spPr/>
      <dgm:t>
        <a:bodyPr/>
        <a:lstStyle/>
        <a:p>
          <a:pPr algn="ctr"/>
          <a:endParaRPr lang="en-US"/>
        </a:p>
      </dgm:t>
    </dgm:pt>
    <dgm:pt modelId="{7C8ABF2B-7DB2-4B30-9548-4D93EC862C5A}">
      <dgm:prSet/>
      <dgm:spPr/>
      <dgm:t>
        <a:bodyPr/>
        <a:lstStyle/>
        <a:p>
          <a:pPr algn="ctr"/>
          <a:r>
            <a:rPr lang="en-US"/>
            <a:t>Main fermentation</a:t>
          </a:r>
        </a:p>
      </dgm:t>
    </dgm:pt>
    <dgm:pt modelId="{8B001C42-49B1-4819-86D8-716BB616BCB7}" type="parTrans" cxnId="{56D4B8BE-B2A0-446F-A158-6D77856E49B4}">
      <dgm:prSet/>
      <dgm:spPr/>
      <dgm:t>
        <a:bodyPr/>
        <a:lstStyle/>
        <a:p>
          <a:pPr algn="ctr"/>
          <a:endParaRPr lang="en-US"/>
        </a:p>
      </dgm:t>
    </dgm:pt>
    <dgm:pt modelId="{9D02CB57-0F15-41C9-9757-E7ECCFFAFCD2}" type="sibTrans" cxnId="{56D4B8BE-B2A0-446F-A158-6D77856E49B4}">
      <dgm:prSet/>
      <dgm:spPr/>
      <dgm:t>
        <a:bodyPr/>
        <a:lstStyle/>
        <a:p>
          <a:pPr algn="ctr"/>
          <a:endParaRPr lang="en-US"/>
        </a:p>
      </dgm:t>
    </dgm:pt>
    <dgm:pt modelId="{BF663F3D-86AF-46D8-9F13-CACC66052415}" type="pres">
      <dgm:prSet presAssocID="{8018874B-1901-4597-A592-A55F62C175FF}" presName="Name0" presStyleCnt="0">
        <dgm:presLayoutVars>
          <dgm:dir/>
          <dgm:resizeHandles val="exact"/>
        </dgm:presLayoutVars>
      </dgm:prSet>
      <dgm:spPr/>
      <dgm:t>
        <a:bodyPr/>
        <a:lstStyle/>
        <a:p>
          <a:endParaRPr lang="en-US"/>
        </a:p>
      </dgm:t>
    </dgm:pt>
    <dgm:pt modelId="{49F6E98B-AAB0-4761-ADE5-F2D5D0820341}" type="pres">
      <dgm:prSet presAssocID="{37AFDD02-FD50-41D3-8A8B-4045CBE2470A}" presName="node" presStyleLbl="node1" presStyleIdx="0" presStyleCnt="10">
        <dgm:presLayoutVars>
          <dgm:bulletEnabled val="1"/>
        </dgm:presLayoutVars>
      </dgm:prSet>
      <dgm:spPr/>
      <dgm:t>
        <a:bodyPr/>
        <a:lstStyle/>
        <a:p>
          <a:endParaRPr lang="en-US"/>
        </a:p>
      </dgm:t>
    </dgm:pt>
    <dgm:pt modelId="{62F300CD-00AD-4BE3-B1C5-A447446A31D4}" type="pres">
      <dgm:prSet presAssocID="{3708981B-D6D0-405F-BED0-126EE29F9FBC}" presName="sibTrans" presStyleLbl="sibTrans1D1" presStyleIdx="0" presStyleCnt="9"/>
      <dgm:spPr/>
      <dgm:t>
        <a:bodyPr/>
        <a:lstStyle/>
        <a:p>
          <a:endParaRPr lang="en-US"/>
        </a:p>
      </dgm:t>
    </dgm:pt>
    <dgm:pt modelId="{4D8FB2C2-48B5-4CE1-945C-EB1717364CDD}" type="pres">
      <dgm:prSet presAssocID="{3708981B-D6D0-405F-BED0-126EE29F9FBC}" presName="connectorText" presStyleLbl="sibTrans1D1" presStyleIdx="0" presStyleCnt="9"/>
      <dgm:spPr/>
      <dgm:t>
        <a:bodyPr/>
        <a:lstStyle/>
        <a:p>
          <a:endParaRPr lang="en-US"/>
        </a:p>
      </dgm:t>
    </dgm:pt>
    <dgm:pt modelId="{238E348A-7373-486E-8D50-F150B66ED430}" type="pres">
      <dgm:prSet presAssocID="{F4A20DFB-BD14-4976-BF1F-3E638D714CBA}" presName="node" presStyleLbl="node1" presStyleIdx="1" presStyleCnt="10">
        <dgm:presLayoutVars>
          <dgm:bulletEnabled val="1"/>
        </dgm:presLayoutVars>
      </dgm:prSet>
      <dgm:spPr/>
      <dgm:t>
        <a:bodyPr/>
        <a:lstStyle/>
        <a:p>
          <a:endParaRPr lang="en-US"/>
        </a:p>
      </dgm:t>
    </dgm:pt>
    <dgm:pt modelId="{E80FA827-AC6E-46BF-8468-10C08F18EB2E}" type="pres">
      <dgm:prSet presAssocID="{113CA7C1-6591-492D-A00C-7F7A39100EB8}" presName="sibTrans" presStyleLbl="sibTrans1D1" presStyleIdx="1" presStyleCnt="9"/>
      <dgm:spPr/>
      <dgm:t>
        <a:bodyPr/>
        <a:lstStyle/>
        <a:p>
          <a:endParaRPr lang="en-US"/>
        </a:p>
      </dgm:t>
    </dgm:pt>
    <dgm:pt modelId="{BB00EDEF-2441-4AD1-BE3C-78F66F43C5BE}" type="pres">
      <dgm:prSet presAssocID="{113CA7C1-6591-492D-A00C-7F7A39100EB8}" presName="connectorText" presStyleLbl="sibTrans1D1" presStyleIdx="1" presStyleCnt="9"/>
      <dgm:spPr/>
      <dgm:t>
        <a:bodyPr/>
        <a:lstStyle/>
        <a:p>
          <a:endParaRPr lang="en-US"/>
        </a:p>
      </dgm:t>
    </dgm:pt>
    <dgm:pt modelId="{8D3497A9-D13A-4EE7-8673-8F532CC394D8}" type="pres">
      <dgm:prSet presAssocID="{259A558C-19B0-4BB8-92CA-6E318EEB5E67}" presName="node" presStyleLbl="node1" presStyleIdx="2" presStyleCnt="10">
        <dgm:presLayoutVars>
          <dgm:bulletEnabled val="1"/>
        </dgm:presLayoutVars>
      </dgm:prSet>
      <dgm:spPr/>
      <dgm:t>
        <a:bodyPr/>
        <a:lstStyle/>
        <a:p>
          <a:endParaRPr lang="en-US"/>
        </a:p>
      </dgm:t>
    </dgm:pt>
    <dgm:pt modelId="{194BF217-FF6A-43C9-837A-B27015E04271}" type="pres">
      <dgm:prSet presAssocID="{C170584A-5DFB-48FC-99B5-48BF314B2C47}" presName="sibTrans" presStyleLbl="sibTrans1D1" presStyleIdx="2" presStyleCnt="9"/>
      <dgm:spPr/>
      <dgm:t>
        <a:bodyPr/>
        <a:lstStyle/>
        <a:p>
          <a:endParaRPr lang="en-US"/>
        </a:p>
      </dgm:t>
    </dgm:pt>
    <dgm:pt modelId="{EE39813A-87C4-48D6-BB4E-C58D3488EB90}" type="pres">
      <dgm:prSet presAssocID="{C170584A-5DFB-48FC-99B5-48BF314B2C47}" presName="connectorText" presStyleLbl="sibTrans1D1" presStyleIdx="2" presStyleCnt="9"/>
      <dgm:spPr/>
      <dgm:t>
        <a:bodyPr/>
        <a:lstStyle/>
        <a:p>
          <a:endParaRPr lang="en-US"/>
        </a:p>
      </dgm:t>
    </dgm:pt>
    <dgm:pt modelId="{D4731EAB-626E-4466-B4B8-CCE97B01E290}" type="pres">
      <dgm:prSet presAssocID="{7C8ABF2B-7DB2-4B30-9548-4D93EC862C5A}" presName="node" presStyleLbl="node1" presStyleIdx="3" presStyleCnt="10">
        <dgm:presLayoutVars>
          <dgm:bulletEnabled val="1"/>
        </dgm:presLayoutVars>
      </dgm:prSet>
      <dgm:spPr/>
      <dgm:t>
        <a:bodyPr/>
        <a:lstStyle/>
        <a:p>
          <a:endParaRPr lang="en-US"/>
        </a:p>
      </dgm:t>
    </dgm:pt>
    <dgm:pt modelId="{7CD5D5DE-EC97-42A2-9BBD-ECAE893A48E3}" type="pres">
      <dgm:prSet presAssocID="{9D02CB57-0F15-41C9-9757-E7ECCFFAFCD2}" presName="sibTrans" presStyleLbl="sibTrans1D1" presStyleIdx="3" presStyleCnt="9"/>
      <dgm:spPr/>
      <dgm:t>
        <a:bodyPr/>
        <a:lstStyle/>
        <a:p>
          <a:endParaRPr lang="en-US"/>
        </a:p>
      </dgm:t>
    </dgm:pt>
    <dgm:pt modelId="{3C168FED-1A24-445E-8CAE-1DFD48D336FA}" type="pres">
      <dgm:prSet presAssocID="{9D02CB57-0F15-41C9-9757-E7ECCFFAFCD2}" presName="connectorText" presStyleLbl="sibTrans1D1" presStyleIdx="3" presStyleCnt="9"/>
      <dgm:spPr/>
      <dgm:t>
        <a:bodyPr/>
        <a:lstStyle/>
        <a:p>
          <a:endParaRPr lang="en-US"/>
        </a:p>
      </dgm:t>
    </dgm:pt>
    <dgm:pt modelId="{BD393E2C-4063-4D0A-9058-06646357F279}" type="pres">
      <dgm:prSet presAssocID="{190F63B6-96C6-4412-A59A-6DD1023D9C0E}" presName="node" presStyleLbl="node1" presStyleIdx="4" presStyleCnt="10">
        <dgm:presLayoutVars>
          <dgm:bulletEnabled val="1"/>
        </dgm:presLayoutVars>
      </dgm:prSet>
      <dgm:spPr/>
      <dgm:t>
        <a:bodyPr/>
        <a:lstStyle/>
        <a:p>
          <a:endParaRPr lang="en-US"/>
        </a:p>
      </dgm:t>
    </dgm:pt>
    <dgm:pt modelId="{2022A5EC-DAE7-4787-86F2-C4D91BA2B2E4}" type="pres">
      <dgm:prSet presAssocID="{5873874B-F244-443C-AE40-F32C99935CB1}" presName="sibTrans" presStyleLbl="sibTrans1D1" presStyleIdx="4" presStyleCnt="9"/>
      <dgm:spPr/>
      <dgm:t>
        <a:bodyPr/>
        <a:lstStyle/>
        <a:p>
          <a:endParaRPr lang="en-US"/>
        </a:p>
      </dgm:t>
    </dgm:pt>
    <dgm:pt modelId="{FC4A8656-65EC-43AE-BCFC-04D3BF2E6E37}" type="pres">
      <dgm:prSet presAssocID="{5873874B-F244-443C-AE40-F32C99935CB1}" presName="connectorText" presStyleLbl="sibTrans1D1" presStyleIdx="4" presStyleCnt="9"/>
      <dgm:spPr/>
      <dgm:t>
        <a:bodyPr/>
        <a:lstStyle/>
        <a:p>
          <a:endParaRPr lang="en-US"/>
        </a:p>
      </dgm:t>
    </dgm:pt>
    <dgm:pt modelId="{E0BA3037-A004-49B5-8C3B-9F21D6829C48}" type="pres">
      <dgm:prSet presAssocID="{FE35EF82-1C16-4D50-8001-D61B7CC72945}" presName="node" presStyleLbl="node1" presStyleIdx="5" presStyleCnt="10">
        <dgm:presLayoutVars>
          <dgm:bulletEnabled val="1"/>
        </dgm:presLayoutVars>
      </dgm:prSet>
      <dgm:spPr/>
      <dgm:t>
        <a:bodyPr/>
        <a:lstStyle/>
        <a:p>
          <a:endParaRPr lang="en-US"/>
        </a:p>
      </dgm:t>
    </dgm:pt>
    <dgm:pt modelId="{C56818BB-83D6-4A59-AB78-52D7BF5B7542}" type="pres">
      <dgm:prSet presAssocID="{68DE40A2-F4D1-43DB-B4A1-18124EEC4DEB}" presName="sibTrans" presStyleLbl="sibTrans1D1" presStyleIdx="5" presStyleCnt="9"/>
      <dgm:spPr/>
      <dgm:t>
        <a:bodyPr/>
        <a:lstStyle/>
        <a:p>
          <a:endParaRPr lang="en-US"/>
        </a:p>
      </dgm:t>
    </dgm:pt>
    <dgm:pt modelId="{38BDEB44-467B-42F5-8D8D-04D37B1CC2DC}" type="pres">
      <dgm:prSet presAssocID="{68DE40A2-F4D1-43DB-B4A1-18124EEC4DEB}" presName="connectorText" presStyleLbl="sibTrans1D1" presStyleIdx="5" presStyleCnt="9"/>
      <dgm:spPr/>
      <dgm:t>
        <a:bodyPr/>
        <a:lstStyle/>
        <a:p>
          <a:endParaRPr lang="en-US"/>
        </a:p>
      </dgm:t>
    </dgm:pt>
    <dgm:pt modelId="{7665B1EA-6F7A-4C81-BD6B-CB5373641450}" type="pres">
      <dgm:prSet presAssocID="{378850F2-E665-4085-B257-B25B4981573F}" presName="node" presStyleLbl="node1" presStyleIdx="6" presStyleCnt="10">
        <dgm:presLayoutVars>
          <dgm:bulletEnabled val="1"/>
        </dgm:presLayoutVars>
      </dgm:prSet>
      <dgm:spPr/>
      <dgm:t>
        <a:bodyPr/>
        <a:lstStyle/>
        <a:p>
          <a:endParaRPr lang="en-US"/>
        </a:p>
      </dgm:t>
    </dgm:pt>
    <dgm:pt modelId="{13136952-D075-4D3B-A944-E7897D5705C5}" type="pres">
      <dgm:prSet presAssocID="{2047E5AF-EB3C-4541-BBEE-9DFE19B8526B}" presName="sibTrans" presStyleLbl="sibTrans1D1" presStyleIdx="6" presStyleCnt="9"/>
      <dgm:spPr/>
      <dgm:t>
        <a:bodyPr/>
        <a:lstStyle/>
        <a:p>
          <a:endParaRPr lang="en-US"/>
        </a:p>
      </dgm:t>
    </dgm:pt>
    <dgm:pt modelId="{C1CB8423-2DE1-4154-B464-373D5D37EEE2}" type="pres">
      <dgm:prSet presAssocID="{2047E5AF-EB3C-4541-BBEE-9DFE19B8526B}" presName="connectorText" presStyleLbl="sibTrans1D1" presStyleIdx="6" presStyleCnt="9"/>
      <dgm:spPr/>
      <dgm:t>
        <a:bodyPr/>
        <a:lstStyle/>
        <a:p>
          <a:endParaRPr lang="en-US"/>
        </a:p>
      </dgm:t>
    </dgm:pt>
    <dgm:pt modelId="{ABC9F4BF-2856-4462-BF1F-788BE068556B}" type="pres">
      <dgm:prSet presAssocID="{C2E2E1BA-C234-42FD-8946-91E1BE3CF046}" presName="node" presStyleLbl="node1" presStyleIdx="7" presStyleCnt="10">
        <dgm:presLayoutVars>
          <dgm:bulletEnabled val="1"/>
        </dgm:presLayoutVars>
      </dgm:prSet>
      <dgm:spPr/>
      <dgm:t>
        <a:bodyPr/>
        <a:lstStyle/>
        <a:p>
          <a:endParaRPr lang="en-US"/>
        </a:p>
      </dgm:t>
    </dgm:pt>
    <dgm:pt modelId="{7F6A7D66-819C-4272-89D9-46DD14E843B1}" type="pres">
      <dgm:prSet presAssocID="{D9DE9B2C-02BC-4169-A59D-B6C5E0E7A5E5}" presName="sibTrans" presStyleLbl="sibTrans1D1" presStyleIdx="7" presStyleCnt="9"/>
      <dgm:spPr/>
      <dgm:t>
        <a:bodyPr/>
        <a:lstStyle/>
        <a:p>
          <a:endParaRPr lang="en-US"/>
        </a:p>
      </dgm:t>
    </dgm:pt>
    <dgm:pt modelId="{6B9D0C00-7022-4DED-8FBD-AA473A1D69C7}" type="pres">
      <dgm:prSet presAssocID="{D9DE9B2C-02BC-4169-A59D-B6C5E0E7A5E5}" presName="connectorText" presStyleLbl="sibTrans1D1" presStyleIdx="7" presStyleCnt="9"/>
      <dgm:spPr/>
      <dgm:t>
        <a:bodyPr/>
        <a:lstStyle/>
        <a:p>
          <a:endParaRPr lang="en-US"/>
        </a:p>
      </dgm:t>
    </dgm:pt>
    <dgm:pt modelId="{DB0060EE-8BE3-4A96-9A6F-0C20502F8D48}" type="pres">
      <dgm:prSet presAssocID="{BBD56BCB-15B0-4A75-BEDC-10CEA9EB75B6}" presName="node" presStyleLbl="node1" presStyleIdx="8" presStyleCnt="10" custLinFactX="23132" custLinFactNeighborX="100000">
        <dgm:presLayoutVars>
          <dgm:bulletEnabled val="1"/>
        </dgm:presLayoutVars>
      </dgm:prSet>
      <dgm:spPr/>
      <dgm:t>
        <a:bodyPr/>
        <a:lstStyle/>
        <a:p>
          <a:endParaRPr lang="en-US"/>
        </a:p>
      </dgm:t>
    </dgm:pt>
    <dgm:pt modelId="{9075BD58-F2AC-4C16-A220-4C807C79D6DB}" type="pres">
      <dgm:prSet presAssocID="{EF1E943F-1A87-4C9C-B896-43E026130541}" presName="sibTrans" presStyleLbl="sibTrans1D1" presStyleIdx="8" presStyleCnt="9"/>
      <dgm:spPr/>
      <dgm:t>
        <a:bodyPr/>
        <a:lstStyle/>
        <a:p>
          <a:endParaRPr lang="en-US"/>
        </a:p>
      </dgm:t>
    </dgm:pt>
    <dgm:pt modelId="{F2D70B48-6091-4916-8008-996E09B4CB8E}" type="pres">
      <dgm:prSet presAssocID="{EF1E943F-1A87-4C9C-B896-43E026130541}" presName="connectorText" presStyleLbl="sibTrans1D1" presStyleIdx="8" presStyleCnt="9"/>
      <dgm:spPr/>
      <dgm:t>
        <a:bodyPr/>
        <a:lstStyle/>
        <a:p>
          <a:endParaRPr lang="en-US"/>
        </a:p>
      </dgm:t>
    </dgm:pt>
    <dgm:pt modelId="{A9E494D1-0245-4B96-83CD-6AB7EFD50F9E}" type="pres">
      <dgm:prSet presAssocID="{EEE9D1AD-3E43-4AE2-8D14-447514F919F0}" presName="node" presStyleLbl="node1" presStyleIdx="9" presStyleCnt="10" custLinFactX="24294" custLinFactNeighborX="100000" custLinFactNeighborY="-1">
        <dgm:presLayoutVars>
          <dgm:bulletEnabled val="1"/>
        </dgm:presLayoutVars>
      </dgm:prSet>
      <dgm:spPr/>
      <dgm:t>
        <a:bodyPr/>
        <a:lstStyle/>
        <a:p>
          <a:endParaRPr lang="en-US"/>
        </a:p>
      </dgm:t>
    </dgm:pt>
  </dgm:ptLst>
  <dgm:cxnLst>
    <dgm:cxn modelId="{4C32DE22-3C76-4C4D-A5CF-D991D95E8BDE}" type="presOf" srcId="{68DE40A2-F4D1-43DB-B4A1-18124EEC4DEB}" destId="{38BDEB44-467B-42F5-8D8D-04D37B1CC2DC}" srcOrd="1" destOrd="0" presId="urn:microsoft.com/office/officeart/2005/8/layout/bProcess3"/>
    <dgm:cxn modelId="{A0724A55-A105-41D5-BA42-D1B2F63788B6}" type="presOf" srcId="{C170584A-5DFB-48FC-99B5-48BF314B2C47}" destId="{EE39813A-87C4-48D6-BB4E-C58D3488EB90}" srcOrd="1" destOrd="0" presId="urn:microsoft.com/office/officeart/2005/8/layout/bProcess3"/>
    <dgm:cxn modelId="{3776169B-C011-47CB-B38F-70DADE49349D}" srcId="{8018874B-1901-4597-A592-A55F62C175FF}" destId="{378850F2-E665-4085-B257-B25B4981573F}" srcOrd="6" destOrd="0" parTransId="{3F45A0C7-0A4D-49CF-A507-630DDD8E5381}" sibTransId="{2047E5AF-EB3C-4541-BBEE-9DFE19B8526B}"/>
    <dgm:cxn modelId="{4C286765-9EA1-463A-B946-BFCFDE535E6D}" srcId="{8018874B-1901-4597-A592-A55F62C175FF}" destId="{FE35EF82-1C16-4D50-8001-D61B7CC72945}" srcOrd="5" destOrd="0" parTransId="{E05AD591-0F5D-4B98-B11A-F7E73060D09C}" sibTransId="{68DE40A2-F4D1-43DB-B4A1-18124EEC4DEB}"/>
    <dgm:cxn modelId="{D0A5912F-5CEC-4F8A-9956-317FCC5A8B40}" srcId="{8018874B-1901-4597-A592-A55F62C175FF}" destId="{F4A20DFB-BD14-4976-BF1F-3E638D714CBA}" srcOrd="1" destOrd="0" parTransId="{6BED993B-FA06-403A-B2AF-F92F0A1B9694}" sibTransId="{113CA7C1-6591-492D-A00C-7F7A39100EB8}"/>
    <dgm:cxn modelId="{9F7F6811-0115-4AE6-AECD-FDD884453D09}" type="presOf" srcId="{EEE9D1AD-3E43-4AE2-8D14-447514F919F0}" destId="{A9E494D1-0245-4B96-83CD-6AB7EFD50F9E}" srcOrd="0" destOrd="0" presId="urn:microsoft.com/office/officeart/2005/8/layout/bProcess3"/>
    <dgm:cxn modelId="{20B7D3ED-7D75-4115-8C1D-960B53E3EBED}" type="presOf" srcId="{5873874B-F244-443C-AE40-F32C99935CB1}" destId="{2022A5EC-DAE7-4787-86F2-C4D91BA2B2E4}" srcOrd="0" destOrd="0" presId="urn:microsoft.com/office/officeart/2005/8/layout/bProcess3"/>
    <dgm:cxn modelId="{37A558C2-4300-4123-8CA1-E9BEB6CD7D3E}" srcId="{8018874B-1901-4597-A592-A55F62C175FF}" destId="{C2E2E1BA-C234-42FD-8946-91E1BE3CF046}" srcOrd="7" destOrd="0" parTransId="{0AEC5282-46DD-4136-9A83-2F37B89B2A6B}" sibTransId="{D9DE9B2C-02BC-4169-A59D-B6C5E0E7A5E5}"/>
    <dgm:cxn modelId="{F70FF0E9-EA8B-4E91-92B5-33CB16D62F54}" type="presOf" srcId="{2047E5AF-EB3C-4541-BBEE-9DFE19B8526B}" destId="{13136952-D075-4D3B-A944-E7897D5705C5}" srcOrd="0" destOrd="0" presId="urn:microsoft.com/office/officeart/2005/8/layout/bProcess3"/>
    <dgm:cxn modelId="{DE24578C-347F-4F91-A8FF-6B468A1704BE}" type="presOf" srcId="{9D02CB57-0F15-41C9-9757-E7ECCFFAFCD2}" destId="{3C168FED-1A24-445E-8CAE-1DFD48D336FA}" srcOrd="1" destOrd="0" presId="urn:microsoft.com/office/officeart/2005/8/layout/bProcess3"/>
    <dgm:cxn modelId="{A532841E-38EA-47E3-99F9-2CD181EC6233}" type="presOf" srcId="{EF1E943F-1A87-4C9C-B896-43E026130541}" destId="{9075BD58-F2AC-4C16-A220-4C807C79D6DB}" srcOrd="0" destOrd="0" presId="urn:microsoft.com/office/officeart/2005/8/layout/bProcess3"/>
    <dgm:cxn modelId="{53FD3F9B-F7FC-488D-A253-85BB3024D11A}" type="presOf" srcId="{D9DE9B2C-02BC-4169-A59D-B6C5E0E7A5E5}" destId="{6B9D0C00-7022-4DED-8FBD-AA473A1D69C7}" srcOrd="1" destOrd="0" presId="urn:microsoft.com/office/officeart/2005/8/layout/bProcess3"/>
    <dgm:cxn modelId="{FEDB3B88-60C9-4EA5-8E63-71B88EB33204}" type="presOf" srcId="{3708981B-D6D0-405F-BED0-126EE29F9FBC}" destId="{4D8FB2C2-48B5-4CE1-945C-EB1717364CDD}" srcOrd="1" destOrd="0" presId="urn:microsoft.com/office/officeart/2005/8/layout/bProcess3"/>
    <dgm:cxn modelId="{9CAE964E-0757-40A8-870C-CB0A13968511}" type="presOf" srcId="{BBD56BCB-15B0-4A75-BEDC-10CEA9EB75B6}" destId="{DB0060EE-8BE3-4A96-9A6F-0C20502F8D48}" srcOrd="0" destOrd="0" presId="urn:microsoft.com/office/officeart/2005/8/layout/bProcess3"/>
    <dgm:cxn modelId="{BF9332BD-B294-4C52-99B2-FF17DD369DDC}" srcId="{8018874B-1901-4597-A592-A55F62C175FF}" destId="{259A558C-19B0-4BB8-92CA-6E318EEB5E67}" srcOrd="2" destOrd="0" parTransId="{71958C7E-E744-40E7-ABE0-8ED2E6F5209D}" sibTransId="{C170584A-5DFB-48FC-99B5-48BF314B2C47}"/>
    <dgm:cxn modelId="{56D4B8BE-B2A0-446F-A158-6D77856E49B4}" srcId="{8018874B-1901-4597-A592-A55F62C175FF}" destId="{7C8ABF2B-7DB2-4B30-9548-4D93EC862C5A}" srcOrd="3" destOrd="0" parTransId="{8B001C42-49B1-4819-86D8-716BB616BCB7}" sibTransId="{9D02CB57-0F15-41C9-9757-E7ECCFFAFCD2}"/>
    <dgm:cxn modelId="{0F4DD802-6AD4-419F-B0F1-25AE65191785}" type="presOf" srcId="{2047E5AF-EB3C-4541-BBEE-9DFE19B8526B}" destId="{C1CB8423-2DE1-4154-B464-373D5D37EEE2}" srcOrd="1" destOrd="0" presId="urn:microsoft.com/office/officeart/2005/8/layout/bProcess3"/>
    <dgm:cxn modelId="{136106E3-E201-4973-8E12-1889B2928D87}" type="presOf" srcId="{C170584A-5DFB-48FC-99B5-48BF314B2C47}" destId="{194BF217-FF6A-43C9-837A-B27015E04271}" srcOrd="0" destOrd="0" presId="urn:microsoft.com/office/officeart/2005/8/layout/bProcess3"/>
    <dgm:cxn modelId="{F0F6F42C-4E9F-4510-A8CD-07E08975DE10}" srcId="{8018874B-1901-4597-A592-A55F62C175FF}" destId="{EEE9D1AD-3E43-4AE2-8D14-447514F919F0}" srcOrd="9" destOrd="0" parTransId="{A422414B-B5DE-4E71-9ACB-2457750F8EDB}" sibTransId="{433F0AFA-AE75-4302-A9C7-DE783ED3A775}"/>
    <dgm:cxn modelId="{EE22ADF0-EA7D-442F-996A-E28D9CA8174E}" type="presOf" srcId="{68DE40A2-F4D1-43DB-B4A1-18124EEC4DEB}" destId="{C56818BB-83D6-4A59-AB78-52D7BF5B7542}" srcOrd="0" destOrd="0" presId="urn:microsoft.com/office/officeart/2005/8/layout/bProcess3"/>
    <dgm:cxn modelId="{5D92B37A-4F75-4443-8084-95011B99CFF4}" type="presOf" srcId="{D9DE9B2C-02BC-4169-A59D-B6C5E0E7A5E5}" destId="{7F6A7D66-819C-4272-89D9-46DD14E843B1}" srcOrd="0" destOrd="0" presId="urn:microsoft.com/office/officeart/2005/8/layout/bProcess3"/>
    <dgm:cxn modelId="{2542C644-44B9-4C40-916B-63A079620668}" type="presOf" srcId="{FE35EF82-1C16-4D50-8001-D61B7CC72945}" destId="{E0BA3037-A004-49B5-8C3B-9F21D6829C48}" srcOrd="0" destOrd="0" presId="urn:microsoft.com/office/officeart/2005/8/layout/bProcess3"/>
    <dgm:cxn modelId="{BBC64747-19BA-43C6-9101-CD113C7DD811}" type="presOf" srcId="{9D02CB57-0F15-41C9-9757-E7ECCFFAFCD2}" destId="{7CD5D5DE-EC97-42A2-9BBD-ECAE893A48E3}" srcOrd="0" destOrd="0" presId="urn:microsoft.com/office/officeart/2005/8/layout/bProcess3"/>
    <dgm:cxn modelId="{A73B55D0-C19E-4797-9304-45F98015FB53}" type="presOf" srcId="{5873874B-F244-443C-AE40-F32C99935CB1}" destId="{FC4A8656-65EC-43AE-BCFC-04D3BF2E6E37}" srcOrd="1" destOrd="0" presId="urn:microsoft.com/office/officeart/2005/8/layout/bProcess3"/>
    <dgm:cxn modelId="{43C926A4-6404-48FB-B4CA-EAC4AE2077EB}" type="presOf" srcId="{F4A20DFB-BD14-4976-BF1F-3E638D714CBA}" destId="{238E348A-7373-486E-8D50-F150B66ED430}" srcOrd="0" destOrd="0" presId="urn:microsoft.com/office/officeart/2005/8/layout/bProcess3"/>
    <dgm:cxn modelId="{9EDF5719-F1A2-4E31-AC2A-D963715E45B5}" srcId="{8018874B-1901-4597-A592-A55F62C175FF}" destId="{BBD56BCB-15B0-4A75-BEDC-10CEA9EB75B6}" srcOrd="8" destOrd="0" parTransId="{2AA308FF-0DD1-46C1-A9FD-3EF6EDD52F93}" sibTransId="{EF1E943F-1A87-4C9C-B896-43E026130541}"/>
    <dgm:cxn modelId="{B3D0554D-A420-45CC-B991-FBF370AFA3D7}" type="presOf" srcId="{259A558C-19B0-4BB8-92CA-6E318EEB5E67}" destId="{8D3497A9-D13A-4EE7-8673-8F532CC394D8}" srcOrd="0" destOrd="0" presId="urn:microsoft.com/office/officeart/2005/8/layout/bProcess3"/>
    <dgm:cxn modelId="{4683F367-AF84-4841-8B7D-041B7C59A557}" type="presOf" srcId="{190F63B6-96C6-4412-A59A-6DD1023D9C0E}" destId="{BD393E2C-4063-4D0A-9058-06646357F279}" srcOrd="0" destOrd="0" presId="urn:microsoft.com/office/officeart/2005/8/layout/bProcess3"/>
    <dgm:cxn modelId="{AE2BE81E-63EE-4AF4-9611-55F7CEB8B0D9}" type="presOf" srcId="{8018874B-1901-4597-A592-A55F62C175FF}" destId="{BF663F3D-86AF-46D8-9F13-CACC66052415}" srcOrd="0" destOrd="0" presId="urn:microsoft.com/office/officeart/2005/8/layout/bProcess3"/>
    <dgm:cxn modelId="{EBA19FA2-E0DB-4255-86E7-53875F206BC4}" type="presOf" srcId="{378850F2-E665-4085-B257-B25B4981573F}" destId="{7665B1EA-6F7A-4C81-BD6B-CB5373641450}" srcOrd="0" destOrd="0" presId="urn:microsoft.com/office/officeart/2005/8/layout/bProcess3"/>
    <dgm:cxn modelId="{AE7937C7-16EC-425C-8157-15C5D330C889}" type="presOf" srcId="{7C8ABF2B-7DB2-4B30-9548-4D93EC862C5A}" destId="{D4731EAB-626E-4466-B4B8-CCE97B01E290}" srcOrd="0" destOrd="0" presId="urn:microsoft.com/office/officeart/2005/8/layout/bProcess3"/>
    <dgm:cxn modelId="{680C4F82-039E-4B54-A2FB-DA5BA03E83DC}" type="presOf" srcId="{3708981B-D6D0-405F-BED0-126EE29F9FBC}" destId="{62F300CD-00AD-4BE3-B1C5-A447446A31D4}" srcOrd="0" destOrd="0" presId="urn:microsoft.com/office/officeart/2005/8/layout/bProcess3"/>
    <dgm:cxn modelId="{126E7C1F-25F3-4990-AFCA-CA2936F47F85}" type="presOf" srcId="{37AFDD02-FD50-41D3-8A8B-4045CBE2470A}" destId="{49F6E98B-AAB0-4761-ADE5-F2D5D0820341}" srcOrd="0" destOrd="0" presId="urn:microsoft.com/office/officeart/2005/8/layout/bProcess3"/>
    <dgm:cxn modelId="{99D01756-C447-473E-8AE1-E93888F68645}" type="presOf" srcId="{113CA7C1-6591-492D-A00C-7F7A39100EB8}" destId="{E80FA827-AC6E-46BF-8468-10C08F18EB2E}" srcOrd="0" destOrd="0" presId="urn:microsoft.com/office/officeart/2005/8/layout/bProcess3"/>
    <dgm:cxn modelId="{7355CD56-E2BD-4B17-87C8-87A02D4602DE}" type="presOf" srcId="{C2E2E1BA-C234-42FD-8946-91E1BE3CF046}" destId="{ABC9F4BF-2856-4462-BF1F-788BE068556B}" srcOrd="0" destOrd="0" presId="urn:microsoft.com/office/officeart/2005/8/layout/bProcess3"/>
    <dgm:cxn modelId="{50795059-DC0B-4CD8-ABF2-08CCAE7D7481}" type="presOf" srcId="{113CA7C1-6591-492D-A00C-7F7A39100EB8}" destId="{BB00EDEF-2441-4AD1-BE3C-78F66F43C5BE}" srcOrd="1" destOrd="0" presId="urn:microsoft.com/office/officeart/2005/8/layout/bProcess3"/>
    <dgm:cxn modelId="{C937D77D-1072-45C1-9ADB-1D3C240C8FC4}" type="presOf" srcId="{EF1E943F-1A87-4C9C-B896-43E026130541}" destId="{F2D70B48-6091-4916-8008-996E09B4CB8E}" srcOrd="1" destOrd="0" presId="urn:microsoft.com/office/officeart/2005/8/layout/bProcess3"/>
    <dgm:cxn modelId="{EABA1435-240A-45B0-9594-0DFCB40FE533}" srcId="{8018874B-1901-4597-A592-A55F62C175FF}" destId="{37AFDD02-FD50-41D3-8A8B-4045CBE2470A}" srcOrd="0" destOrd="0" parTransId="{372617D9-93DF-40A7-A4BC-165C34B7AB0C}" sibTransId="{3708981B-D6D0-405F-BED0-126EE29F9FBC}"/>
    <dgm:cxn modelId="{E3D69650-FCAE-4746-841A-6630B8812440}" srcId="{8018874B-1901-4597-A592-A55F62C175FF}" destId="{190F63B6-96C6-4412-A59A-6DD1023D9C0E}" srcOrd="4" destOrd="0" parTransId="{BFC47742-0B59-43F2-9C5A-954D7D9B9B01}" sibTransId="{5873874B-F244-443C-AE40-F32C99935CB1}"/>
    <dgm:cxn modelId="{47E90070-E1B6-4BA8-AEC3-5B085D4711E9}" type="presParOf" srcId="{BF663F3D-86AF-46D8-9F13-CACC66052415}" destId="{49F6E98B-AAB0-4761-ADE5-F2D5D0820341}" srcOrd="0" destOrd="0" presId="urn:microsoft.com/office/officeart/2005/8/layout/bProcess3"/>
    <dgm:cxn modelId="{70C29DA8-F20F-4DBC-AEC0-B4EA0C634E54}" type="presParOf" srcId="{BF663F3D-86AF-46D8-9F13-CACC66052415}" destId="{62F300CD-00AD-4BE3-B1C5-A447446A31D4}" srcOrd="1" destOrd="0" presId="urn:microsoft.com/office/officeart/2005/8/layout/bProcess3"/>
    <dgm:cxn modelId="{6AB39FD5-782E-4BB0-94E8-084D52EAF816}" type="presParOf" srcId="{62F300CD-00AD-4BE3-B1C5-A447446A31D4}" destId="{4D8FB2C2-48B5-4CE1-945C-EB1717364CDD}" srcOrd="0" destOrd="0" presId="urn:microsoft.com/office/officeart/2005/8/layout/bProcess3"/>
    <dgm:cxn modelId="{302738F6-E4AE-4EBE-920A-9CF35265B73A}" type="presParOf" srcId="{BF663F3D-86AF-46D8-9F13-CACC66052415}" destId="{238E348A-7373-486E-8D50-F150B66ED430}" srcOrd="2" destOrd="0" presId="urn:microsoft.com/office/officeart/2005/8/layout/bProcess3"/>
    <dgm:cxn modelId="{FF9DBFE4-359D-4169-BEE8-A8FD6791C3FD}" type="presParOf" srcId="{BF663F3D-86AF-46D8-9F13-CACC66052415}" destId="{E80FA827-AC6E-46BF-8468-10C08F18EB2E}" srcOrd="3" destOrd="0" presId="urn:microsoft.com/office/officeart/2005/8/layout/bProcess3"/>
    <dgm:cxn modelId="{EF5FBEC8-BE98-49B3-93F7-8ECBD74D32E5}" type="presParOf" srcId="{E80FA827-AC6E-46BF-8468-10C08F18EB2E}" destId="{BB00EDEF-2441-4AD1-BE3C-78F66F43C5BE}" srcOrd="0" destOrd="0" presId="urn:microsoft.com/office/officeart/2005/8/layout/bProcess3"/>
    <dgm:cxn modelId="{51AA90AD-9B9D-4F30-9C69-4C8C59BBAF2C}" type="presParOf" srcId="{BF663F3D-86AF-46D8-9F13-CACC66052415}" destId="{8D3497A9-D13A-4EE7-8673-8F532CC394D8}" srcOrd="4" destOrd="0" presId="urn:microsoft.com/office/officeart/2005/8/layout/bProcess3"/>
    <dgm:cxn modelId="{899BA5DA-D0F6-4696-B9CC-DB2D32C65DFD}" type="presParOf" srcId="{BF663F3D-86AF-46D8-9F13-CACC66052415}" destId="{194BF217-FF6A-43C9-837A-B27015E04271}" srcOrd="5" destOrd="0" presId="urn:microsoft.com/office/officeart/2005/8/layout/bProcess3"/>
    <dgm:cxn modelId="{CAAA80E2-4ED8-488D-84F9-880241A54099}" type="presParOf" srcId="{194BF217-FF6A-43C9-837A-B27015E04271}" destId="{EE39813A-87C4-48D6-BB4E-C58D3488EB90}" srcOrd="0" destOrd="0" presId="urn:microsoft.com/office/officeart/2005/8/layout/bProcess3"/>
    <dgm:cxn modelId="{B7A484E6-3094-4F14-BCBE-3FF0FC233C27}" type="presParOf" srcId="{BF663F3D-86AF-46D8-9F13-CACC66052415}" destId="{D4731EAB-626E-4466-B4B8-CCE97B01E290}" srcOrd="6" destOrd="0" presId="urn:microsoft.com/office/officeart/2005/8/layout/bProcess3"/>
    <dgm:cxn modelId="{4018A797-D6E3-4111-A633-F3294AA11F7F}" type="presParOf" srcId="{BF663F3D-86AF-46D8-9F13-CACC66052415}" destId="{7CD5D5DE-EC97-42A2-9BBD-ECAE893A48E3}" srcOrd="7" destOrd="0" presId="urn:microsoft.com/office/officeart/2005/8/layout/bProcess3"/>
    <dgm:cxn modelId="{07F7A667-7F9E-42DE-B749-F6DCA299E46A}" type="presParOf" srcId="{7CD5D5DE-EC97-42A2-9BBD-ECAE893A48E3}" destId="{3C168FED-1A24-445E-8CAE-1DFD48D336FA}" srcOrd="0" destOrd="0" presId="urn:microsoft.com/office/officeart/2005/8/layout/bProcess3"/>
    <dgm:cxn modelId="{DB052FDC-C9A2-4CB9-9AE2-0927A0FD8FC9}" type="presParOf" srcId="{BF663F3D-86AF-46D8-9F13-CACC66052415}" destId="{BD393E2C-4063-4D0A-9058-06646357F279}" srcOrd="8" destOrd="0" presId="urn:microsoft.com/office/officeart/2005/8/layout/bProcess3"/>
    <dgm:cxn modelId="{29EF4137-B85C-4350-A777-6AECDDDB2CEE}" type="presParOf" srcId="{BF663F3D-86AF-46D8-9F13-CACC66052415}" destId="{2022A5EC-DAE7-4787-86F2-C4D91BA2B2E4}" srcOrd="9" destOrd="0" presId="urn:microsoft.com/office/officeart/2005/8/layout/bProcess3"/>
    <dgm:cxn modelId="{C80074F6-7E81-4BED-99E6-C6332D392713}" type="presParOf" srcId="{2022A5EC-DAE7-4787-86F2-C4D91BA2B2E4}" destId="{FC4A8656-65EC-43AE-BCFC-04D3BF2E6E37}" srcOrd="0" destOrd="0" presId="urn:microsoft.com/office/officeart/2005/8/layout/bProcess3"/>
    <dgm:cxn modelId="{EDACF6B1-91CC-41DD-B5CC-CE6D6889952D}" type="presParOf" srcId="{BF663F3D-86AF-46D8-9F13-CACC66052415}" destId="{E0BA3037-A004-49B5-8C3B-9F21D6829C48}" srcOrd="10" destOrd="0" presId="urn:microsoft.com/office/officeart/2005/8/layout/bProcess3"/>
    <dgm:cxn modelId="{20B038E1-272A-4563-9700-BA0956A47900}" type="presParOf" srcId="{BF663F3D-86AF-46D8-9F13-CACC66052415}" destId="{C56818BB-83D6-4A59-AB78-52D7BF5B7542}" srcOrd="11" destOrd="0" presId="urn:microsoft.com/office/officeart/2005/8/layout/bProcess3"/>
    <dgm:cxn modelId="{43B540FA-7667-4164-B120-F986243F8FCB}" type="presParOf" srcId="{C56818BB-83D6-4A59-AB78-52D7BF5B7542}" destId="{38BDEB44-467B-42F5-8D8D-04D37B1CC2DC}" srcOrd="0" destOrd="0" presId="urn:microsoft.com/office/officeart/2005/8/layout/bProcess3"/>
    <dgm:cxn modelId="{35628F83-5F68-4883-8879-91A433047560}" type="presParOf" srcId="{BF663F3D-86AF-46D8-9F13-CACC66052415}" destId="{7665B1EA-6F7A-4C81-BD6B-CB5373641450}" srcOrd="12" destOrd="0" presId="urn:microsoft.com/office/officeart/2005/8/layout/bProcess3"/>
    <dgm:cxn modelId="{EA073410-DC3B-4E69-9EB3-F88A00B8F069}" type="presParOf" srcId="{BF663F3D-86AF-46D8-9F13-CACC66052415}" destId="{13136952-D075-4D3B-A944-E7897D5705C5}" srcOrd="13" destOrd="0" presId="urn:microsoft.com/office/officeart/2005/8/layout/bProcess3"/>
    <dgm:cxn modelId="{E191925F-EDD0-4605-96AC-CC61F263FFB8}" type="presParOf" srcId="{13136952-D075-4D3B-A944-E7897D5705C5}" destId="{C1CB8423-2DE1-4154-B464-373D5D37EEE2}" srcOrd="0" destOrd="0" presId="urn:microsoft.com/office/officeart/2005/8/layout/bProcess3"/>
    <dgm:cxn modelId="{399F8B28-5417-4AF7-8EBD-A6BDD1278BCD}" type="presParOf" srcId="{BF663F3D-86AF-46D8-9F13-CACC66052415}" destId="{ABC9F4BF-2856-4462-BF1F-788BE068556B}" srcOrd="14" destOrd="0" presId="urn:microsoft.com/office/officeart/2005/8/layout/bProcess3"/>
    <dgm:cxn modelId="{1798A8FF-A12F-4C8C-9387-35D0E4997CCA}" type="presParOf" srcId="{BF663F3D-86AF-46D8-9F13-CACC66052415}" destId="{7F6A7D66-819C-4272-89D9-46DD14E843B1}" srcOrd="15" destOrd="0" presId="urn:microsoft.com/office/officeart/2005/8/layout/bProcess3"/>
    <dgm:cxn modelId="{B48F72E8-70E1-4FAF-812E-730396A586D7}" type="presParOf" srcId="{7F6A7D66-819C-4272-89D9-46DD14E843B1}" destId="{6B9D0C00-7022-4DED-8FBD-AA473A1D69C7}" srcOrd="0" destOrd="0" presId="urn:microsoft.com/office/officeart/2005/8/layout/bProcess3"/>
    <dgm:cxn modelId="{1373CED2-1E13-4B88-A595-7BE43951375A}" type="presParOf" srcId="{BF663F3D-86AF-46D8-9F13-CACC66052415}" destId="{DB0060EE-8BE3-4A96-9A6F-0C20502F8D48}" srcOrd="16" destOrd="0" presId="urn:microsoft.com/office/officeart/2005/8/layout/bProcess3"/>
    <dgm:cxn modelId="{0EB944A2-FF9A-4453-8A89-D95EEF81A661}" type="presParOf" srcId="{BF663F3D-86AF-46D8-9F13-CACC66052415}" destId="{9075BD58-F2AC-4C16-A220-4C807C79D6DB}" srcOrd="17" destOrd="0" presId="urn:microsoft.com/office/officeart/2005/8/layout/bProcess3"/>
    <dgm:cxn modelId="{23F3586A-5BE3-4686-8EAF-A3C99125B4C3}" type="presParOf" srcId="{9075BD58-F2AC-4C16-A220-4C807C79D6DB}" destId="{F2D70B48-6091-4916-8008-996E09B4CB8E}" srcOrd="0" destOrd="0" presId="urn:microsoft.com/office/officeart/2005/8/layout/bProcess3"/>
    <dgm:cxn modelId="{9CC7C269-8C76-42EF-9966-A82D95DB533E}" type="presParOf" srcId="{BF663F3D-86AF-46D8-9F13-CACC66052415}" destId="{A9E494D1-0245-4B96-83CD-6AB7EFD50F9E}" srcOrd="18"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300CD-00AD-4BE3-B1C5-A447446A31D4}">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628300"/>
        <a:ext cx="13447" cy="2689"/>
      </dsp:txXfrm>
    </dsp:sp>
    <dsp:sp modelId="{49F6E98B-AAB0-4761-ADE5-F2D5D0820341}">
      <dsp:nvSpPr>
        <dsp:cNvPr id="0" name=""/>
        <dsp:cNvSpPr/>
      </dsp:nvSpPr>
      <dsp:spPr>
        <a:xfrm>
          <a:off x="1091"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1: Fermentation</a:t>
          </a:r>
        </a:p>
      </dsp:txBody>
      <dsp:txXfrm>
        <a:off x="1091" y="278842"/>
        <a:ext cx="1169342" cy="701605"/>
      </dsp:txXfrm>
    </dsp:sp>
    <dsp:sp modelId="{E80FA827-AC6E-46BF-8468-10C08F18EB2E}">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628300"/>
        <a:ext cx="13447" cy="2689"/>
      </dsp:txXfrm>
    </dsp:sp>
    <dsp:sp modelId="{238E348A-7373-486E-8D50-F150B66ED430}">
      <dsp:nvSpPr>
        <dsp:cNvPr id="0" name=""/>
        <dsp:cNvSpPr/>
      </dsp:nvSpPr>
      <dsp:spPr>
        <a:xfrm>
          <a:off x="1439383"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Inoculation</a:t>
          </a:r>
        </a:p>
      </dsp:txBody>
      <dsp:txXfrm>
        <a:off x="1439383" y="278842"/>
        <a:ext cx="1169342" cy="701605"/>
      </dsp:txXfrm>
    </dsp:sp>
    <dsp:sp modelId="{194BF217-FF6A-43C9-837A-B27015E04271}">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628300"/>
        <a:ext cx="13447" cy="2689"/>
      </dsp:txXfrm>
    </dsp:sp>
    <dsp:sp modelId="{8D3497A9-D13A-4EE7-8673-8F532CC394D8}">
      <dsp:nvSpPr>
        <dsp:cNvPr id="0" name=""/>
        <dsp:cNvSpPr/>
      </dsp:nvSpPr>
      <dsp:spPr>
        <a:xfrm>
          <a:off x="2877674"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Seed fermentation</a:t>
          </a:r>
        </a:p>
      </dsp:txBody>
      <dsp:txXfrm>
        <a:off x="2877674" y="278842"/>
        <a:ext cx="1169342" cy="701605"/>
      </dsp:txXfrm>
    </dsp:sp>
    <dsp:sp modelId="{7CD5D5DE-EC97-42A2-9BBD-ECAE893A48E3}">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5118" y="1096478"/>
        <a:ext cx="216162" cy="2689"/>
      </dsp:txXfrm>
    </dsp:sp>
    <dsp:sp modelId="{D4731EAB-626E-4466-B4B8-CCE97B01E290}">
      <dsp:nvSpPr>
        <dsp:cNvPr id="0" name=""/>
        <dsp:cNvSpPr/>
      </dsp:nvSpPr>
      <dsp:spPr>
        <a:xfrm>
          <a:off x="4315965"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Main fermentation</a:t>
          </a:r>
        </a:p>
      </dsp:txBody>
      <dsp:txXfrm>
        <a:off x="4315965" y="278842"/>
        <a:ext cx="1169342" cy="701605"/>
      </dsp:txXfrm>
    </dsp:sp>
    <dsp:sp modelId="{2022A5EC-DAE7-4787-86F2-C4D91BA2B2E4}">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1598855"/>
        <a:ext cx="13447" cy="2689"/>
      </dsp:txXfrm>
    </dsp:sp>
    <dsp:sp modelId="{BD393E2C-4063-4D0A-9058-06646357F279}">
      <dsp:nvSpPr>
        <dsp:cNvPr id="0" name=""/>
        <dsp:cNvSpPr/>
      </dsp:nvSpPr>
      <dsp:spPr>
        <a:xfrm>
          <a:off x="1091"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2: Recovery</a:t>
          </a:r>
        </a:p>
      </dsp:txBody>
      <dsp:txXfrm>
        <a:off x="1091" y="1249397"/>
        <a:ext cx="1169342" cy="701605"/>
      </dsp:txXfrm>
    </dsp:sp>
    <dsp:sp modelId="{C56818BB-83D6-4A59-AB78-52D7BF5B7542}">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1598855"/>
        <a:ext cx="13447" cy="2689"/>
      </dsp:txXfrm>
    </dsp:sp>
    <dsp:sp modelId="{E0BA3037-A004-49B5-8C3B-9F21D6829C48}">
      <dsp:nvSpPr>
        <dsp:cNvPr id="0" name=""/>
        <dsp:cNvSpPr/>
      </dsp:nvSpPr>
      <dsp:spPr>
        <a:xfrm>
          <a:off x="1439383"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Pre-treatment</a:t>
          </a:r>
        </a:p>
      </dsp:txBody>
      <dsp:txXfrm>
        <a:off x="1439383" y="1249397"/>
        <a:ext cx="1169342" cy="701605"/>
      </dsp:txXfrm>
    </dsp:sp>
    <dsp:sp modelId="{13136952-D075-4D3B-A944-E7897D5705C5}">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1598855"/>
        <a:ext cx="13447" cy="2689"/>
      </dsp:txXfrm>
    </dsp:sp>
    <dsp:sp modelId="{7665B1EA-6F7A-4C81-BD6B-CB5373641450}">
      <dsp:nvSpPr>
        <dsp:cNvPr id="0" name=""/>
        <dsp:cNvSpPr/>
      </dsp:nvSpPr>
      <dsp:spPr>
        <a:xfrm>
          <a:off x="2877674"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Primary separation</a:t>
          </a:r>
        </a:p>
      </dsp:txBody>
      <dsp:txXfrm>
        <a:off x="2877674" y="1249397"/>
        <a:ext cx="1169342" cy="701605"/>
      </dsp:txXfrm>
    </dsp:sp>
    <dsp:sp modelId="{7F6A7D66-819C-4272-89D9-46DD14E843B1}">
      <dsp:nvSpPr>
        <dsp:cNvPr id="0" name=""/>
        <dsp:cNvSpPr/>
      </dsp:nvSpPr>
      <dsp:spPr>
        <a:xfrm>
          <a:off x="2025597" y="1949202"/>
          <a:ext cx="2875039" cy="238348"/>
        </a:xfrm>
        <a:custGeom>
          <a:avLst/>
          <a:gdLst/>
          <a:ahLst/>
          <a:cxnLst/>
          <a:rect l="0" t="0" r="0" b="0"/>
          <a:pathLst>
            <a:path>
              <a:moveTo>
                <a:pt x="2875039" y="0"/>
              </a:moveTo>
              <a:lnTo>
                <a:pt x="2875039"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90927" y="2067032"/>
        <a:ext cx="144379" cy="2689"/>
      </dsp:txXfrm>
    </dsp:sp>
    <dsp:sp modelId="{ABC9F4BF-2856-4462-BF1F-788BE068556B}">
      <dsp:nvSpPr>
        <dsp:cNvPr id="0" name=""/>
        <dsp:cNvSpPr/>
      </dsp:nvSpPr>
      <dsp:spPr>
        <a:xfrm>
          <a:off x="4315965"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Filtration</a:t>
          </a:r>
        </a:p>
      </dsp:txBody>
      <dsp:txXfrm>
        <a:off x="4315965" y="1249397"/>
        <a:ext cx="1169342" cy="701605"/>
      </dsp:txXfrm>
    </dsp:sp>
    <dsp:sp modelId="{9075BD58-F2AC-4C16-A220-4C807C79D6DB}">
      <dsp:nvSpPr>
        <dsp:cNvPr id="0" name=""/>
        <dsp:cNvSpPr/>
      </dsp:nvSpPr>
      <dsp:spPr>
        <a:xfrm>
          <a:off x="2608469" y="2525027"/>
          <a:ext cx="251936" cy="91440"/>
        </a:xfrm>
        <a:custGeom>
          <a:avLst/>
          <a:gdLst/>
          <a:ahLst/>
          <a:cxnLst/>
          <a:rect l="0" t="0" r="0" b="0"/>
          <a:pathLst>
            <a:path>
              <a:moveTo>
                <a:pt x="0" y="45727"/>
              </a:moveTo>
              <a:lnTo>
                <a:pt x="143068" y="45727"/>
              </a:lnTo>
              <a:lnTo>
                <a:pt x="143068" y="45720"/>
              </a:lnTo>
              <a:lnTo>
                <a:pt x="25193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7373" y="2569402"/>
        <a:ext cx="14126" cy="2689"/>
      </dsp:txXfrm>
    </dsp:sp>
    <dsp:sp modelId="{DB0060EE-8BE3-4A96-9A6F-0C20502F8D48}">
      <dsp:nvSpPr>
        <dsp:cNvPr id="0" name=""/>
        <dsp:cNvSpPr/>
      </dsp:nvSpPr>
      <dsp:spPr>
        <a:xfrm>
          <a:off x="1440926" y="2219951"/>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Concentration</a:t>
          </a:r>
        </a:p>
      </dsp:txBody>
      <dsp:txXfrm>
        <a:off x="1440926" y="2219951"/>
        <a:ext cx="1169342" cy="701605"/>
      </dsp:txXfrm>
    </dsp:sp>
    <dsp:sp modelId="{A9E494D1-0245-4B96-83CD-6AB7EFD50F9E}">
      <dsp:nvSpPr>
        <dsp:cNvPr id="0" name=""/>
        <dsp:cNvSpPr/>
      </dsp:nvSpPr>
      <dsp:spPr>
        <a:xfrm>
          <a:off x="2892805" y="2219944"/>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0" i="0" kern="1200"/>
            <a:t>Stabilisation and preservation</a:t>
          </a:r>
        </a:p>
      </dsp:txBody>
      <dsp:txXfrm>
        <a:off x="2892805" y="2219944"/>
        <a:ext cx="1169342" cy="7016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3B3C1741-6C7A-4AC7-BA54-35B515BDB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67CCA-EF4B-45D3-8631-53D828F1AD6E}">
  <ds:schemaRefs>
    <ds:schemaRef ds:uri="http://schemas.microsoft.com/sharepoint/events"/>
  </ds:schemaRefs>
</ds:datastoreItem>
</file>

<file path=customXml/itemProps3.xml><?xml version="1.0" encoding="utf-8"?>
<ds:datastoreItem xmlns:ds="http://schemas.openxmlformats.org/officeDocument/2006/customXml" ds:itemID="{78376793-2BCE-4FE1-8B86-802107624CB2}"/>
</file>

<file path=customXml/itemProps4.xml><?xml version="1.0" encoding="utf-8"?>
<ds:datastoreItem xmlns:ds="http://schemas.openxmlformats.org/officeDocument/2006/customXml" ds:itemID="{A6A1A3D4-190E-417A-902E-CD7FEC80C507}"/>
</file>

<file path=customXml/itemProps5.xml><?xml version="1.0" encoding="utf-8"?>
<ds:datastoreItem xmlns:ds="http://schemas.openxmlformats.org/officeDocument/2006/customXml" ds:itemID="{22007E98-E3D6-4449-8F5D-92A4FA080364}"/>
</file>

<file path=customXml/itemProps6.xml><?xml version="1.0" encoding="utf-8"?>
<ds:datastoreItem xmlns:ds="http://schemas.openxmlformats.org/officeDocument/2006/customXml" ds:itemID="{C882F2B3-974F-4315-9ED9-0369F9C6D66C}"/>
</file>

<file path=customXml/itemProps7.xml><?xml version="1.0" encoding="utf-8"?>
<ds:datastoreItem xmlns:ds="http://schemas.openxmlformats.org/officeDocument/2006/customXml" ds:itemID="{C6731B35-C4C2-49BA-9193-B2AA6B22138D}"/>
</file>

<file path=docProps/app.xml><?xml version="1.0" encoding="utf-8"?>
<Properties xmlns="http://schemas.openxmlformats.org/officeDocument/2006/extended-properties" xmlns:vt="http://schemas.openxmlformats.org/officeDocument/2006/docPropsVTypes">
  <Template>Normal</Template>
  <TotalTime>0</TotalTime>
  <Pages>16</Pages>
  <Words>6624</Words>
  <Characters>37761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44297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4</cp:revision>
  <cp:lastPrinted>2019-04-18T02:12:00Z</cp:lastPrinted>
  <dcterms:created xsi:type="dcterms:W3CDTF">2019-06-11T22:09:00Z</dcterms:created>
  <dcterms:modified xsi:type="dcterms:W3CDTF">2019-06-25T04:07:00Z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5e6a786c-c9c2-440d-8470-dae46310d0ae</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609;#FOOD STANDARDS:Notifications|cb7eeb77-0baa-4e31-9d98-aad1478135c4</vt:lpwstr>
  </property>
  <property fmtid="{D5CDD505-2E9C-101B-9397-08002B2CF9AE}" pid="7" name="_dlc_DocIdItemGuid">
    <vt:lpwstr>f2da287f-40b6-485a-b812-f4ade42546f4</vt:lpwstr>
  </property>
  <property fmtid="{D5CDD505-2E9C-101B-9397-08002B2CF9AE}" pid="8" name="a41428b017d04df981d58ffdf035d7b8">
    <vt:lpwstr/>
  </property>
  <property fmtid="{D5CDD505-2E9C-101B-9397-08002B2CF9AE}" pid="9" name="RecordPoint_WorkflowType">
    <vt:lpwstr>ActiveSubmitStub</vt:lpwstr>
  </property>
  <property fmtid="{D5CDD505-2E9C-101B-9397-08002B2CF9AE}" pid="10" name="RecordPoint_ActiveItemUniqueId">
    <vt:lpwstr>{c9895add-3866-4179-8307-0f60fea500ab}</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R0000113776</vt:lpwstr>
  </property>
  <property fmtid="{D5CDD505-2E9C-101B-9397-08002B2CF9AE}" pid="15" name="RecordPoint_SubmissionCompleted">
    <vt:lpwstr>2019-05-23T15:05:20.6642707+10:00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